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C1AA7" w14:textId="77777777" w:rsidR="0002586D" w:rsidRPr="00CF3BA2" w:rsidRDefault="0002586D" w:rsidP="0002586D">
      <w:pPr>
        <w:keepNext/>
        <w:adjustRightInd w:val="0"/>
        <w:ind w:left="5760"/>
        <w:outlineLvl w:val="4"/>
        <w:rPr>
          <w:bCs/>
          <w:iCs/>
          <w:sz w:val="24"/>
          <w:szCs w:val="24"/>
          <w:lang w:val="kk-KZ" w:eastAsia="ru-RU"/>
        </w:rPr>
      </w:pPr>
      <w:r w:rsidRPr="00CF3BA2">
        <w:rPr>
          <w:bCs/>
          <w:iCs/>
          <w:sz w:val="24"/>
          <w:szCs w:val="24"/>
          <w:lang w:val="kk-KZ" w:eastAsia="ru-RU"/>
        </w:rPr>
        <w:t xml:space="preserve">«ҚР ДСМ Медициналық және </w:t>
      </w:r>
    </w:p>
    <w:p w14:paraId="3F904DB4" w14:textId="77777777" w:rsidR="0002586D" w:rsidRPr="00CF3BA2" w:rsidRDefault="0002586D" w:rsidP="0002586D">
      <w:pPr>
        <w:keepNext/>
        <w:adjustRightInd w:val="0"/>
        <w:ind w:left="5760"/>
        <w:outlineLvl w:val="4"/>
        <w:rPr>
          <w:bCs/>
          <w:iCs/>
          <w:sz w:val="24"/>
          <w:szCs w:val="24"/>
          <w:lang w:val="kk-KZ" w:eastAsia="ru-RU"/>
        </w:rPr>
      </w:pPr>
      <w:r w:rsidRPr="00CF3BA2">
        <w:rPr>
          <w:bCs/>
          <w:iCs/>
          <w:sz w:val="24"/>
          <w:szCs w:val="24"/>
          <w:lang w:val="kk-KZ" w:eastAsia="ru-RU"/>
        </w:rPr>
        <w:t xml:space="preserve">фармацевтикалық бақылау </w:t>
      </w:r>
    </w:p>
    <w:p w14:paraId="66175C05" w14:textId="1FEF6F5F" w:rsidR="0002586D" w:rsidRPr="00CF3BA2" w:rsidRDefault="0002586D" w:rsidP="0002586D">
      <w:pPr>
        <w:keepNext/>
        <w:adjustRightInd w:val="0"/>
        <w:ind w:left="5760"/>
        <w:outlineLvl w:val="4"/>
        <w:rPr>
          <w:bCs/>
          <w:iCs/>
          <w:sz w:val="24"/>
          <w:szCs w:val="24"/>
          <w:lang w:val="kk-KZ" w:eastAsia="ru-RU"/>
        </w:rPr>
      </w:pPr>
      <w:r w:rsidRPr="00CF3BA2">
        <w:rPr>
          <w:bCs/>
          <w:iCs/>
          <w:sz w:val="24"/>
          <w:szCs w:val="24"/>
          <w:lang w:val="kk-KZ" w:eastAsia="ru-RU"/>
        </w:rPr>
        <w:t>комитеті» РММ төрағасының</w:t>
      </w:r>
    </w:p>
    <w:p w14:paraId="2932267A" w14:textId="77777777" w:rsidR="0002586D" w:rsidRPr="00CF3BA2" w:rsidRDefault="0002586D" w:rsidP="0002586D">
      <w:pPr>
        <w:keepNext/>
        <w:adjustRightInd w:val="0"/>
        <w:ind w:left="5760"/>
        <w:outlineLvl w:val="4"/>
        <w:rPr>
          <w:bCs/>
          <w:iCs/>
          <w:sz w:val="24"/>
          <w:szCs w:val="24"/>
          <w:lang w:val="kk-KZ" w:eastAsia="ru-RU"/>
        </w:rPr>
      </w:pPr>
      <w:r w:rsidRPr="00CF3BA2">
        <w:rPr>
          <w:bCs/>
          <w:iCs/>
          <w:sz w:val="24"/>
          <w:szCs w:val="24"/>
          <w:lang w:val="kk-KZ" w:eastAsia="ru-RU"/>
        </w:rPr>
        <w:t>20   ж. «____» ___________</w:t>
      </w:r>
    </w:p>
    <w:p w14:paraId="03FAD710" w14:textId="77777777" w:rsidR="0002586D" w:rsidRPr="00CF3BA2" w:rsidRDefault="0002586D" w:rsidP="0002586D">
      <w:pPr>
        <w:keepNext/>
        <w:adjustRightInd w:val="0"/>
        <w:ind w:left="5760"/>
        <w:outlineLvl w:val="4"/>
        <w:rPr>
          <w:bCs/>
          <w:iCs/>
          <w:sz w:val="24"/>
          <w:szCs w:val="24"/>
          <w:lang w:val="kk-KZ" w:eastAsia="ru-RU"/>
        </w:rPr>
      </w:pPr>
      <w:r w:rsidRPr="00CF3BA2">
        <w:rPr>
          <w:bCs/>
          <w:iCs/>
          <w:sz w:val="24"/>
          <w:szCs w:val="24"/>
          <w:lang w:val="kk-KZ" w:eastAsia="ru-RU"/>
        </w:rPr>
        <w:t>№ _____ бұйрығымен</w:t>
      </w:r>
    </w:p>
    <w:p w14:paraId="25D3B142" w14:textId="491931E4" w:rsidR="005245B3" w:rsidRPr="00CF3BA2" w:rsidRDefault="0002586D" w:rsidP="0002586D">
      <w:pPr>
        <w:pStyle w:val="a3"/>
        <w:ind w:left="5760"/>
        <w:jc w:val="left"/>
        <w:rPr>
          <w:lang w:val="kk-KZ"/>
        </w:rPr>
      </w:pPr>
      <w:r w:rsidRPr="00CF3BA2">
        <w:rPr>
          <w:b/>
          <w:iCs/>
          <w:lang w:val="kk-KZ" w:eastAsia="ru-RU"/>
        </w:rPr>
        <w:t>БЕКІТІЛГЕН</w:t>
      </w:r>
    </w:p>
    <w:p w14:paraId="4543EC2B" w14:textId="1E01C317" w:rsidR="005245B3" w:rsidRPr="00CF3BA2" w:rsidRDefault="005245B3">
      <w:pPr>
        <w:pStyle w:val="a3"/>
        <w:spacing w:before="2"/>
        <w:ind w:left="0"/>
        <w:jc w:val="left"/>
        <w:rPr>
          <w:lang w:val="kk-KZ"/>
        </w:rPr>
      </w:pPr>
    </w:p>
    <w:p w14:paraId="44A614E2" w14:textId="77777777" w:rsidR="0002586D" w:rsidRPr="00CF3BA2" w:rsidRDefault="0002586D">
      <w:pPr>
        <w:pStyle w:val="a3"/>
        <w:spacing w:before="2"/>
        <w:ind w:left="0"/>
        <w:jc w:val="left"/>
        <w:rPr>
          <w:lang w:val="kk-KZ"/>
        </w:rPr>
      </w:pPr>
    </w:p>
    <w:p w14:paraId="59C81A7E" w14:textId="1D748153" w:rsidR="005245B3" w:rsidRPr="00CF3BA2" w:rsidRDefault="0030415E" w:rsidP="0002586D">
      <w:pPr>
        <w:pStyle w:val="1"/>
        <w:spacing w:before="1" w:line="240" w:lineRule="auto"/>
        <w:jc w:val="center"/>
        <w:rPr>
          <w:lang w:val="kk-KZ"/>
        </w:rPr>
      </w:pPr>
      <w:r w:rsidRPr="00CF3BA2">
        <w:rPr>
          <w:lang w:val="kk-KZ"/>
        </w:rPr>
        <w:t>ДӘРІЛІК ПРЕПАРАТТЫҢ ЖАЛПЫ СИПАТТАМАСЫ</w:t>
      </w:r>
    </w:p>
    <w:p w14:paraId="6CAD2AB0" w14:textId="77777777" w:rsidR="005245B3" w:rsidRPr="00CF3BA2" w:rsidRDefault="005245B3">
      <w:pPr>
        <w:pStyle w:val="a3"/>
        <w:spacing w:before="11"/>
        <w:ind w:left="0"/>
        <w:jc w:val="left"/>
        <w:rPr>
          <w:b/>
          <w:lang w:val="kk-KZ"/>
        </w:rPr>
      </w:pPr>
    </w:p>
    <w:p w14:paraId="4A4B96C0" w14:textId="3FFE61A4" w:rsidR="005245B3" w:rsidRPr="00CF3BA2" w:rsidRDefault="0030415E">
      <w:pPr>
        <w:pStyle w:val="a5"/>
        <w:numPr>
          <w:ilvl w:val="0"/>
          <w:numId w:val="3"/>
        </w:numPr>
        <w:tabs>
          <w:tab w:val="left" w:pos="465"/>
        </w:tabs>
        <w:rPr>
          <w:b/>
          <w:sz w:val="24"/>
          <w:szCs w:val="24"/>
          <w:lang w:val="kk-KZ"/>
        </w:rPr>
      </w:pPr>
      <w:r w:rsidRPr="00CF3BA2">
        <w:rPr>
          <w:b/>
          <w:bCs/>
          <w:iCs/>
          <w:sz w:val="24"/>
          <w:szCs w:val="24"/>
          <w:lang w:val="kk-KZ"/>
        </w:rPr>
        <w:t>ДӘ</w:t>
      </w:r>
      <w:r w:rsidRPr="00CF3BA2">
        <w:rPr>
          <w:rFonts w:cs="Book Antiqua"/>
          <w:b/>
          <w:bCs/>
          <w:iCs/>
          <w:sz w:val="24"/>
          <w:szCs w:val="24"/>
          <w:lang w:val="kk-KZ"/>
        </w:rPr>
        <w:t>РІЛІК</w:t>
      </w:r>
      <w:r w:rsidRPr="00CF3BA2">
        <w:rPr>
          <w:b/>
          <w:bCs/>
          <w:iCs/>
          <w:sz w:val="24"/>
          <w:szCs w:val="24"/>
          <w:lang w:val="kk-KZ"/>
        </w:rPr>
        <w:t xml:space="preserve"> </w:t>
      </w:r>
      <w:r w:rsidRPr="00CF3BA2">
        <w:rPr>
          <w:rFonts w:cs="Book Antiqua"/>
          <w:b/>
          <w:bCs/>
          <w:iCs/>
          <w:sz w:val="24"/>
          <w:szCs w:val="24"/>
          <w:lang w:val="kk-KZ"/>
        </w:rPr>
        <w:t>ПРЕПАРАТТЫҢ</w:t>
      </w:r>
      <w:r w:rsidRPr="00CF3BA2">
        <w:rPr>
          <w:b/>
          <w:bCs/>
          <w:iCs/>
          <w:sz w:val="24"/>
          <w:szCs w:val="24"/>
          <w:lang w:val="kk-KZ"/>
        </w:rPr>
        <w:t xml:space="preserve"> </w:t>
      </w:r>
      <w:r w:rsidRPr="00CF3BA2">
        <w:rPr>
          <w:rFonts w:cs="Book Antiqua"/>
          <w:b/>
          <w:bCs/>
          <w:iCs/>
          <w:sz w:val="24"/>
          <w:szCs w:val="24"/>
          <w:lang w:val="kk-KZ"/>
        </w:rPr>
        <w:t>АТАУЫ</w:t>
      </w:r>
    </w:p>
    <w:p w14:paraId="50E3247B" w14:textId="140657DA" w:rsidR="005245B3" w:rsidRPr="00CF3BA2" w:rsidRDefault="0047700E">
      <w:pPr>
        <w:pStyle w:val="a3"/>
        <w:spacing w:line="275" w:lineRule="exact"/>
        <w:jc w:val="left"/>
        <w:rPr>
          <w:lang w:val="kk-KZ"/>
        </w:rPr>
      </w:pPr>
      <w:r w:rsidRPr="00CF3BA2">
        <w:rPr>
          <w:lang w:val="kk-KZ"/>
        </w:rPr>
        <w:t>Севроже</w:t>
      </w:r>
      <w:r w:rsidR="00C3576F" w:rsidRPr="00CF3BA2">
        <w:rPr>
          <w:lang w:val="kk-KZ"/>
        </w:rPr>
        <w:t>,</w:t>
      </w:r>
      <w:r w:rsidR="00C3576F" w:rsidRPr="00CF3BA2">
        <w:rPr>
          <w:spacing w:val="-2"/>
          <w:lang w:val="kk-KZ"/>
        </w:rPr>
        <w:t xml:space="preserve"> </w:t>
      </w:r>
      <w:r w:rsidR="00C3576F" w:rsidRPr="00CF3BA2">
        <w:rPr>
          <w:lang w:val="kk-KZ"/>
        </w:rPr>
        <w:t>800</w:t>
      </w:r>
      <w:r w:rsidR="00C3576F" w:rsidRPr="00CF3BA2">
        <w:rPr>
          <w:spacing w:val="-6"/>
          <w:lang w:val="kk-KZ"/>
        </w:rPr>
        <w:t xml:space="preserve"> </w:t>
      </w:r>
      <w:r w:rsidR="00C3576F" w:rsidRPr="00CF3BA2">
        <w:rPr>
          <w:lang w:val="kk-KZ"/>
        </w:rPr>
        <w:t>мг,</w:t>
      </w:r>
      <w:r w:rsidR="00C3576F" w:rsidRPr="00CF3BA2">
        <w:rPr>
          <w:spacing w:val="-4"/>
          <w:lang w:val="kk-KZ"/>
        </w:rPr>
        <w:t xml:space="preserve"> </w:t>
      </w:r>
      <w:r w:rsidR="00460C45" w:rsidRPr="00CF3BA2">
        <w:rPr>
          <w:rFonts w:eastAsia="TimesNewRomanPSMT"/>
          <w:lang w:val="kk-KZ" w:eastAsia="ru-RU"/>
        </w:rPr>
        <w:t>үлбірлі қабықпен қапталған таблеткалар</w:t>
      </w:r>
    </w:p>
    <w:p w14:paraId="34FB6FA1" w14:textId="77777777" w:rsidR="005245B3" w:rsidRPr="00CF3BA2" w:rsidRDefault="005245B3">
      <w:pPr>
        <w:pStyle w:val="a3"/>
        <w:spacing w:before="5"/>
        <w:ind w:left="0"/>
        <w:jc w:val="left"/>
        <w:rPr>
          <w:lang w:val="kk-KZ"/>
        </w:rPr>
      </w:pPr>
    </w:p>
    <w:p w14:paraId="2CF65160" w14:textId="43B3F921" w:rsidR="005245B3" w:rsidRPr="00CF3BA2" w:rsidRDefault="0030415E">
      <w:pPr>
        <w:pStyle w:val="1"/>
        <w:numPr>
          <w:ilvl w:val="0"/>
          <w:numId w:val="3"/>
        </w:numPr>
        <w:tabs>
          <w:tab w:val="left" w:pos="465"/>
        </w:tabs>
        <w:spacing w:line="272" w:lineRule="exact"/>
        <w:rPr>
          <w:lang w:val="kk-KZ"/>
        </w:rPr>
      </w:pPr>
      <w:r w:rsidRPr="00CF3BA2">
        <w:rPr>
          <w:lang w:val="kk-KZ"/>
        </w:rPr>
        <w:t>САПАЛЫҚ ЖӘНЕ САНДЫҚ ҚҰРАМЫ</w:t>
      </w:r>
    </w:p>
    <w:p w14:paraId="009C9A35" w14:textId="6D5DC0C8" w:rsidR="005245B3" w:rsidRPr="00CF3BA2" w:rsidRDefault="0030415E">
      <w:pPr>
        <w:pStyle w:val="a5"/>
        <w:numPr>
          <w:ilvl w:val="1"/>
          <w:numId w:val="3"/>
        </w:numPr>
        <w:tabs>
          <w:tab w:val="left" w:pos="584"/>
        </w:tabs>
        <w:spacing w:line="272" w:lineRule="exact"/>
        <w:ind w:left="584" w:hanging="365"/>
        <w:rPr>
          <w:sz w:val="24"/>
          <w:szCs w:val="24"/>
          <w:lang w:val="kk-KZ"/>
        </w:rPr>
      </w:pPr>
      <w:r w:rsidRPr="00CF3BA2">
        <w:rPr>
          <w:sz w:val="24"/>
          <w:szCs w:val="24"/>
          <w:lang w:val="kk-KZ"/>
        </w:rPr>
        <w:t xml:space="preserve"> Жалпы сипаттамасы</w:t>
      </w:r>
    </w:p>
    <w:p w14:paraId="12D49DED" w14:textId="7063EBED" w:rsidR="005245B3" w:rsidRPr="00CF3BA2" w:rsidRDefault="00C3576F">
      <w:pPr>
        <w:pStyle w:val="a3"/>
        <w:spacing w:before="2" w:line="275" w:lineRule="exact"/>
        <w:jc w:val="left"/>
        <w:rPr>
          <w:lang w:val="kk-KZ"/>
        </w:rPr>
      </w:pPr>
      <w:r w:rsidRPr="00CF3BA2">
        <w:rPr>
          <w:lang w:val="kk-KZ"/>
        </w:rPr>
        <w:t>С</w:t>
      </w:r>
      <w:r w:rsidR="00460C45" w:rsidRPr="00CF3BA2">
        <w:rPr>
          <w:lang w:val="kk-KZ"/>
        </w:rPr>
        <w:t>усыз с</w:t>
      </w:r>
      <w:r w:rsidRPr="00CF3BA2">
        <w:rPr>
          <w:lang w:val="kk-KZ"/>
        </w:rPr>
        <w:t>евеламер</w:t>
      </w:r>
      <w:r w:rsidR="00460C45" w:rsidRPr="00CF3BA2">
        <w:rPr>
          <w:lang w:val="kk-KZ"/>
        </w:rPr>
        <w:t xml:space="preserve"> </w:t>
      </w:r>
      <w:r w:rsidRPr="00CF3BA2">
        <w:rPr>
          <w:lang w:val="kk-KZ"/>
        </w:rPr>
        <w:t>карбонат</w:t>
      </w:r>
      <w:r w:rsidR="00460C45" w:rsidRPr="00CF3BA2">
        <w:rPr>
          <w:spacing w:val="2"/>
          <w:lang w:val="kk-KZ"/>
        </w:rPr>
        <w:t>ы</w:t>
      </w:r>
    </w:p>
    <w:p w14:paraId="01BB4932" w14:textId="530DECA1" w:rsidR="005245B3" w:rsidRPr="00CF3BA2" w:rsidRDefault="0030415E">
      <w:pPr>
        <w:pStyle w:val="a5"/>
        <w:numPr>
          <w:ilvl w:val="1"/>
          <w:numId w:val="3"/>
        </w:numPr>
        <w:tabs>
          <w:tab w:val="left" w:pos="584"/>
        </w:tabs>
        <w:ind w:left="584" w:hanging="365"/>
        <w:rPr>
          <w:sz w:val="24"/>
          <w:szCs w:val="24"/>
          <w:lang w:val="kk-KZ"/>
        </w:rPr>
      </w:pPr>
      <w:r w:rsidRPr="00CF3BA2">
        <w:rPr>
          <w:sz w:val="24"/>
          <w:szCs w:val="24"/>
          <w:lang w:val="kk-KZ"/>
        </w:rPr>
        <w:t xml:space="preserve"> Сапалық және сандық құрамы</w:t>
      </w:r>
    </w:p>
    <w:p w14:paraId="3C04D8E0" w14:textId="3EE5EBD0" w:rsidR="00460C45" w:rsidRPr="00CF3BA2" w:rsidRDefault="00460C45" w:rsidP="00460C45">
      <w:pPr>
        <w:adjustRightInd w:val="0"/>
        <w:rPr>
          <w:rFonts w:eastAsia="TimesNewRomanPSMT"/>
          <w:sz w:val="24"/>
          <w:szCs w:val="24"/>
          <w:lang w:val="kk-KZ" w:eastAsia="ru-RU"/>
        </w:rPr>
      </w:pPr>
      <w:r w:rsidRPr="00CF3BA2">
        <w:rPr>
          <w:sz w:val="24"/>
          <w:szCs w:val="24"/>
          <w:lang w:val="kk-KZ"/>
        </w:rPr>
        <w:t xml:space="preserve">   </w:t>
      </w:r>
      <w:r w:rsidRPr="00CF3BA2">
        <w:rPr>
          <w:rFonts w:eastAsia="TimesNewRomanPSMT"/>
          <w:sz w:val="24"/>
          <w:szCs w:val="24"/>
          <w:lang w:val="kk-KZ" w:eastAsia="ru-RU"/>
        </w:rPr>
        <w:t>Үлбірлі қабықпен қапталған бір таблетканың құрамында</w:t>
      </w:r>
    </w:p>
    <w:p w14:paraId="088E94DF" w14:textId="2100DFFF" w:rsidR="005245B3" w:rsidRPr="00CF3BA2" w:rsidRDefault="00460C45" w:rsidP="00460C45">
      <w:pPr>
        <w:pStyle w:val="a3"/>
        <w:spacing w:before="3" w:line="275" w:lineRule="exact"/>
        <w:jc w:val="left"/>
        <w:rPr>
          <w:lang w:val="kk-KZ"/>
        </w:rPr>
      </w:pPr>
      <w:r w:rsidRPr="00CF3BA2">
        <w:rPr>
          <w:rFonts w:eastAsia="TimesNewRomanPSMT"/>
          <w:i/>
          <w:iCs/>
          <w:lang w:val="kk-KZ" w:eastAsia="ru-RU"/>
        </w:rPr>
        <w:t>белсенді зат -</w:t>
      </w:r>
      <w:r w:rsidRPr="00CF3BA2">
        <w:rPr>
          <w:rFonts w:eastAsia="TimesNewRomanPSMT"/>
          <w:lang w:val="kk-KZ" w:eastAsia="ru-RU"/>
        </w:rPr>
        <w:t xml:space="preserve"> сусыз севеламер карбонаты</w:t>
      </w:r>
      <w:r w:rsidR="00C3576F" w:rsidRPr="00CF3BA2">
        <w:rPr>
          <w:lang w:val="kk-KZ"/>
        </w:rPr>
        <w:t>, 800</w:t>
      </w:r>
      <w:r w:rsidR="00C3576F" w:rsidRPr="00CF3BA2">
        <w:rPr>
          <w:spacing w:val="-5"/>
          <w:lang w:val="kk-KZ"/>
        </w:rPr>
        <w:t xml:space="preserve"> мг.</w:t>
      </w:r>
    </w:p>
    <w:p w14:paraId="3031310B" w14:textId="3EC9CD89" w:rsidR="00880183" w:rsidRPr="00CF3BA2" w:rsidRDefault="00460C45">
      <w:pPr>
        <w:pStyle w:val="a3"/>
        <w:spacing w:line="274" w:lineRule="exact"/>
        <w:rPr>
          <w:lang w:val="kk-KZ"/>
        </w:rPr>
      </w:pPr>
      <w:r w:rsidRPr="00CF3BA2">
        <w:rPr>
          <w:rFonts w:eastAsia="TimesNewRomanPSMT"/>
          <w:i/>
          <w:iCs/>
          <w:lang w:val="kk-KZ" w:eastAsia="ru-RU"/>
        </w:rPr>
        <w:t>қосымша заттар</w:t>
      </w:r>
      <w:r w:rsidR="00880183" w:rsidRPr="00CF3BA2">
        <w:rPr>
          <w:lang w:val="kk-KZ"/>
        </w:rPr>
        <w:t xml:space="preserve">: </w:t>
      </w:r>
      <w:r w:rsidR="00C96D8B" w:rsidRPr="00CF3BA2">
        <w:rPr>
          <w:lang w:val="kk-KZ"/>
        </w:rPr>
        <w:t>натри</w:t>
      </w:r>
      <w:r w:rsidRPr="00CF3BA2">
        <w:rPr>
          <w:lang w:val="kk-KZ"/>
        </w:rPr>
        <w:t>й</w:t>
      </w:r>
      <w:r w:rsidR="00C96D8B" w:rsidRPr="00CF3BA2">
        <w:rPr>
          <w:lang w:val="kk-KZ"/>
        </w:rPr>
        <w:t xml:space="preserve"> стеарил фумарат</w:t>
      </w:r>
      <w:r w:rsidRPr="00CF3BA2">
        <w:rPr>
          <w:lang w:val="kk-KZ"/>
        </w:rPr>
        <w:t>ы</w:t>
      </w:r>
      <w:r w:rsidR="00C96D8B" w:rsidRPr="00CF3BA2">
        <w:rPr>
          <w:lang w:val="kk-KZ"/>
        </w:rPr>
        <w:t xml:space="preserve"> 10.00 мг/табл.</w:t>
      </w:r>
    </w:p>
    <w:p w14:paraId="3D041E95" w14:textId="4A9EA0BC" w:rsidR="005245B3" w:rsidRPr="00CF3BA2" w:rsidRDefault="0030415E">
      <w:pPr>
        <w:pStyle w:val="a3"/>
        <w:spacing w:line="274" w:lineRule="exact"/>
        <w:rPr>
          <w:lang w:val="kk-KZ"/>
        </w:rPr>
      </w:pPr>
      <w:r w:rsidRPr="00CF3BA2">
        <w:rPr>
          <w:bCs/>
          <w:lang w:val="kk-KZ"/>
        </w:rPr>
        <w:t>Қосымша заттардың толық тізімін 6.1. тармағынан қараңыз</w:t>
      </w:r>
      <w:r w:rsidR="00C3576F" w:rsidRPr="00CF3BA2">
        <w:rPr>
          <w:spacing w:val="-4"/>
          <w:lang w:val="kk-KZ"/>
        </w:rPr>
        <w:t>.</w:t>
      </w:r>
    </w:p>
    <w:p w14:paraId="621611A5" w14:textId="77777777" w:rsidR="005245B3" w:rsidRPr="00CF3BA2" w:rsidRDefault="005245B3">
      <w:pPr>
        <w:pStyle w:val="a3"/>
        <w:spacing w:before="5"/>
        <w:ind w:left="0"/>
        <w:jc w:val="left"/>
        <w:rPr>
          <w:lang w:val="kk-KZ"/>
        </w:rPr>
      </w:pPr>
    </w:p>
    <w:p w14:paraId="03AFC6C7" w14:textId="1F01BB57" w:rsidR="005245B3" w:rsidRPr="00CF3BA2" w:rsidRDefault="0030415E">
      <w:pPr>
        <w:pStyle w:val="1"/>
        <w:numPr>
          <w:ilvl w:val="0"/>
          <w:numId w:val="3"/>
        </w:numPr>
        <w:tabs>
          <w:tab w:val="left" w:pos="465"/>
        </w:tabs>
        <w:rPr>
          <w:lang w:val="kk-KZ"/>
        </w:rPr>
      </w:pPr>
      <w:r w:rsidRPr="00CF3BA2">
        <w:rPr>
          <w:lang w:val="kk-KZ"/>
        </w:rPr>
        <w:t>ДӘРІЛІК ТҮРІ</w:t>
      </w:r>
    </w:p>
    <w:p w14:paraId="09697FFC" w14:textId="00966D71" w:rsidR="005245B3" w:rsidRPr="00CF3BA2" w:rsidRDefault="00460C45">
      <w:pPr>
        <w:pStyle w:val="a3"/>
        <w:spacing w:line="274" w:lineRule="exact"/>
        <w:rPr>
          <w:spacing w:val="-2"/>
          <w:lang w:val="kk-KZ"/>
        </w:rPr>
      </w:pPr>
      <w:r w:rsidRPr="00CF3BA2">
        <w:rPr>
          <w:rFonts w:eastAsia="TimesNewRomanPSMT"/>
          <w:lang w:val="kk-KZ" w:eastAsia="ru-RU"/>
        </w:rPr>
        <w:t>Үлбірлі қабықпен қапталған таблеткалар</w:t>
      </w:r>
      <w:r w:rsidR="00C3576F" w:rsidRPr="00CF3BA2">
        <w:rPr>
          <w:spacing w:val="-2"/>
          <w:lang w:val="kk-KZ"/>
        </w:rPr>
        <w:t>.</w:t>
      </w:r>
    </w:p>
    <w:p w14:paraId="20963003" w14:textId="79A7107B" w:rsidR="00321AC2" w:rsidRPr="00CF3BA2" w:rsidRDefault="00460C45" w:rsidP="00321AC2">
      <w:pPr>
        <w:pStyle w:val="a3"/>
        <w:spacing w:line="274" w:lineRule="exact"/>
        <w:rPr>
          <w:lang w:val="kk-KZ"/>
        </w:rPr>
      </w:pPr>
      <w:r w:rsidRPr="00CF3BA2">
        <w:rPr>
          <w:lang w:val="kk-KZ"/>
        </w:rPr>
        <w:t>Сопақша пішінді, бір жағында «NAV» және екінші жағында «109» өрнектері бар, ақтан ақ дерлік түске дейінгі үлбірлі қабықпен қапталған таблеткалар</w:t>
      </w:r>
      <w:r w:rsidR="00321AC2" w:rsidRPr="00CF3BA2">
        <w:rPr>
          <w:lang w:val="kk-KZ"/>
        </w:rPr>
        <w:t>.</w:t>
      </w:r>
    </w:p>
    <w:p w14:paraId="03E94FBB" w14:textId="77777777" w:rsidR="005245B3" w:rsidRPr="00CF3BA2" w:rsidRDefault="005245B3">
      <w:pPr>
        <w:pStyle w:val="a3"/>
        <w:spacing w:before="1"/>
        <w:ind w:left="0"/>
        <w:jc w:val="left"/>
        <w:rPr>
          <w:lang w:val="kk-KZ"/>
        </w:rPr>
      </w:pPr>
    </w:p>
    <w:p w14:paraId="28A47780" w14:textId="694DDAF9" w:rsidR="005245B3" w:rsidRPr="00CF3BA2" w:rsidRDefault="0030415E">
      <w:pPr>
        <w:pStyle w:val="1"/>
        <w:numPr>
          <w:ilvl w:val="0"/>
          <w:numId w:val="3"/>
        </w:numPr>
        <w:tabs>
          <w:tab w:val="left" w:pos="465"/>
        </w:tabs>
        <w:rPr>
          <w:lang w:val="kk-KZ"/>
        </w:rPr>
      </w:pPr>
      <w:r w:rsidRPr="00CF3BA2">
        <w:rPr>
          <w:lang w:val="kk-KZ"/>
        </w:rPr>
        <w:t>КЛИНИКАЛЫҚ ДЕРЕКТЕРІ</w:t>
      </w:r>
    </w:p>
    <w:p w14:paraId="488936AD" w14:textId="1C5FE2DF" w:rsidR="005245B3" w:rsidRPr="00CF3BA2" w:rsidRDefault="0030415E">
      <w:pPr>
        <w:pStyle w:val="2"/>
        <w:numPr>
          <w:ilvl w:val="1"/>
          <w:numId w:val="3"/>
        </w:numPr>
        <w:tabs>
          <w:tab w:val="left" w:pos="585"/>
        </w:tabs>
        <w:spacing w:line="274" w:lineRule="exact"/>
        <w:rPr>
          <w:lang w:val="kk-KZ"/>
        </w:rPr>
      </w:pPr>
      <w:bookmarkStart w:id="0" w:name="4.1_Показания_к_применению"/>
      <w:bookmarkEnd w:id="0"/>
      <w:r w:rsidRPr="00CF3BA2">
        <w:rPr>
          <w:lang w:val="kk-KZ"/>
        </w:rPr>
        <w:t xml:space="preserve"> Қолданылуы</w:t>
      </w:r>
    </w:p>
    <w:p w14:paraId="53036822" w14:textId="3ECA1171" w:rsidR="005245B3" w:rsidRPr="00CF3BA2" w:rsidRDefault="00460C45">
      <w:pPr>
        <w:pStyle w:val="a5"/>
        <w:numPr>
          <w:ilvl w:val="2"/>
          <w:numId w:val="3"/>
        </w:numPr>
        <w:tabs>
          <w:tab w:val="left" w:pos="389"/>
        </w:tabs>
        <w:spacing w:before="1" w:line="237" w:lineRule="auto"/>
        <w:ind w:right="238" w:firstLine="0"/>
        <w:rPr>
          <w:sz w:val="24"/>
          <w:szCs w:val="24"/>
          <w:lang w:val="kk-KZ"/>
        </w:rPr>
      </w:pPr>
      <w:r w:rsidRPr="00CF3BA2">
        <w:rPr>
          <w:bCs/>
          <w:sz w:val="24"/>
          <w:szCs w:val="24"/>
          <w:lang w:val="kk-KZ"/>
        </w:rPr>
        <w:t>гемодиализ немесе перитонеалдық диализ</w:t>
      </w:r>
      <w:r w:rsidR="00CF3BA2" w:rsidRPr="00CF3BA2">
        <w:rPr>
          <w:bCs/>
          <w:sz w:val="24"/>
          <w:szCs w:val="24"/>
          <w:lang w:val="kk-KZ"/>
        </w:rPr>
        <w:t xml:space="preserve"> жүргізілетін</w:t>
      </w:r>
      <w:r w:rsidRPr="00CF3BA2">
        <w:rPr>
          <w:bCs/>
          <w:sz w:val="24"/>
          <w:szCs w:val="24"/>
          <w:lang w:val="kk-KZ"/>
        </w:rPr>
        <w:t xml:space="preserve"> ересек пациенттерде гиперфосфатемияны бақылау</w:t>
      </w:r>
      <w:r w:rsidR="00C3576F" w:rsidRPr="00CF3BA2">
        <w:rPr>
          <w:sz w:val="24"/>
          <w:szCs w:val="24"/>
          <w:lang w:val="kk-KZ"/>
        </w:rPr>
        <w:t>;</w:t>
      </w:r>
    </w:p>
    <w:p w14:paraId="44BEBFA9" w14:textId="5E07BF6C" w:rsidR="005245B3" w:rsidRPr="00CF3BA2" w:rsidRDefault="00460C45">
      <w:pPr>
        <w:pStyle w:val="a5"/>
        <w:numPr>
          <w:ilvl w:val="2"/>
          <w:numId w:val="3"/>
        </w:numPr>
        <w:tabs>
          <w:tab w:val="left" w:pos="369"/>
        </w:tabs>
        <w:spacing w:before="6" w:line="237" w:lineRule="auto"/>
        <w:ind w:right="234" w:firstLine="0"/>
        <w:rPr>
          <w:i/>
          <w:sz w:val="24"/>
          <w:szCs w:val="24"/>
          <w:lang w:val="kk-KZ"/>
        </w:rPr>
      </w:pPr>
      <w:r w:rsidRPr="00CF3BA2">
        <w:rPr>
          <w:sz w:val="24"/>
          <w:szCs w:val="24"/>
          <w:lang w:val="kk-KZ"/>
        </w:rPr>
        <w:t xml:space="preserve">сарысудағы фосфор деңгейі ≥ 1,78 ммоль/л болатын, диализ </w:t>
      </w:r>
      <w:r w:rsidR="00CF3BA2" w:rsidRPr="00CF3BA2">
        <w:rPr>
          <w:sz w:val="24"/>
          <w:szCs w:val="24"/>
          <w:lang w:val="kk-KZ"/>
        </w:rPr>
        <w:t xml:space="preserve">жүргізілмейтін </w:t>
      </w:r>
      <w:r w:rsidRPr="00CF3BA2">
        <w:rPr>
          <w:sz w:val="24"/>
          <w:szCs w:val="24"/>
          <w:lang w:val="kk-KZ"/>
        </w:rPr>
        <w:t>пациенттерде бүйректің созылмалы ауруында гиперфосфатемияны бақылау</w:t>
      </w:r>
      <w:r w:rsidR="00C3576F" w:rsidRPr="00CF3BA2">
        <w:rPr>
          <w:sz w:val="24"/>
          <w:szCs w:val="24"/>
          <w:lang w:val="kk-KZ"/>
        </w:rPr>
        <w:t>;</w:t>
      </w:r>
    </w:p>
    <w:p w14:paraId="64CB9208" w14:textId="2959735F" w:rsidR="005245B3" w:rsidRPr="00CF3BA2" w:rsidRDefault="00460C45">
      <w:pPr>
        <w:pStyle w:val="a5"/>
        <w:numPr>
          <w:ilvl w:val="2"/>
          <w:numId w:val="3"/>
        </w:numPr>
        <w:tabs>
          <w:tab w:val="left" w:pos="422"/>
        </w:tabs>
        <w:spacing w:before="4" w:line="240" w:lineRule="auto"/>
        <w:ind w:right="231" w:firstLine="0"/>
        <w:rPr>
          <w:sz w:val="24"/>
          <w:szCs w:val="24"/>
          <w:lang w:val="kk-KZ"/>
        </w:rPr>
      </w:pPr>
      <w:r w:rsidRPr="00CF3BA2">
        <w:rPr>
          <w:sz w:val="24"/>
          <w:szCs w:val="24"/>
          <w:lang w:val="kk-KZ"/>
        </w:rPr>
        <w:t>бүйрек остеодистрофиясының дамуын бақылау үшін кальций қоспаларын, 1,25-дигидрокси D</w:t>
      </w:r>
      <w:r w:rsidRPr="00CF3BA2">
        <w:rPr>
          <w:sz w:val="24"/>
          <w:szCs w:val="24"/>
          <w:vertAlign w:val="subscript"/>
          <w:lang w:val="kk-KZ"/>
        </w:rPr>
        <w:t>3</w:t>
      </w:r>
      <w:r w:rsidRPr="00CF3BA2">
        <w:rPr>
          <w:sz w:val="24"/>
          <w:szCs w:val="24"/>
          <w:lang w:val="kk-KZ"/>
        </w:rPr>
        <w:t xml:space="preserve"> дәруменін немесе оның аналогтарының біреуін қамтуы мүмкін көптеген емдік тәсілдер аясында</w:t>
      </w:r>
      <w:r w:rsidR="00C3576F" w:rsidRPr="00CF3BA2">
        <w:rPr>
          <w:sz w:val="24"/>
          <w:szCs w:val="24"/>
          <w:lang w:val="kk-KZ"/>
        </w:rPr>
        <w:t>.</w:t>
      </w:r>
    </w:p>
    <w:p w14:paraId="70AE1C5D" w14:textId="77777777" w:rsidR="005245B3" w:rsidRPr="00CF3BA2" w:rsidRDefault="005245B3">
      <w:pPr>
        <w:pStyle w:val="a3"/>
        <w:spacing w:before="4"/>
        <w:ind w:left="0"/>
        <w:jc w:val="left"/>
        <w:rPr>
          <w:lang w:val="kk-KZ"/>
        </w:rPr>
      </w:pPr>
    </w:p>
    <w:p w14:paraId="0708D073" w14:textId="264A5A70" w:rsidR="0030415E" w:rsidRPr="00CF3BA2" w:rsidRDefault="0030415E" w:rsidP="0030415E">
      <w:pPr>
        <w:pStyle w:val="2"/>
        <w:numPr>
          <w:ilvl w:val="1"/>
          <w:numId w:val="3"/>
        </w:numPr>
        <w:tabs>
          <w:tab w:val="left" w:pos="584"/>
        </w:tabs>
        <w:spacing w:line="237" w:lineRule="auto"/>
        <w:ind w:left="219" w:right="316" w:firstLine="0"/>
        <w:rPr>
          <w:lang w:val="kk-KZ"/>
        </w:rPr>
      </w:pPr>
      <w:r w:rsidRPr="00CF3BA2">
        <w:rPr>
          <w:lang w:val="kk-KZ"/>
        </w:rPr>
        <w:t xml:space="preserve"> Дозалану режимі және қолдану тәсілі</w:t>
      </w:r>
    </w:p>
    <w:p w14:paraId="6283055B" w14:textId="523610CF" w:rsidR="005245B3" w:rsidRPr="00CF3BA2" w:rsidRDefault="0030415E" w:rsidP="0030415E">
      <w:pPr>
        <w:pStyle w:val="2"/>
        <w:tabs>
          <w:tab w:val="left" w:pos="584"/>
        </w:tabs>
        <w:spacing w:line="237" w:lineRule="auto"/>
        <w:ind w:right="4405"/>
        <w:rPr>
          <w:lang w:val="kk-KZ"/>
        </w:rPr>
      </w:pPr>
      <w:r w:rsidRPr="00CF3BA2">
        <w:rPr>
          <w:lang w:val="kk-KZ"/>
        </w:rPr>
        <w:t>Дозалану режимі</w:t>
      </w:r>
    </w:p>
    <w:p w14:paraId="577171B6" w14:textId="52E1E563" w:rsidR="005245B3" w:rsidRPr="00CF3BA2" w:rsidRDefault="00460C45" w:rsidP="00C25B98">
      <w:pPr>
        <w:spacing w:line="274" w:lineRule="exact"/>
        <w:jc w:val="both"/>
        <w:rPr>
          <w:i/>
          <w:sz w:val="24"/>
          <w:szCs w:val="24"/>
          <w:lang w:val="kk-KZ"/>
        </w:rPr>
      </w:pPr>
      <w:r w:rsidRPr="00CF3BA2">
        <w:rPr>
          <w:bCs/>
          <w:i/>
          <w:iCs/>
          <w:sz w:val="24"/>
          <w:szCs w:val="24"/>
          <w:lang w:val="kk-KZ" w:eastAsia="ru-RU"/>
        </w:rPr>
        <w:t xml:space="preserve">Бастапқы </w:t>
      </w:r>
      <w:r w:rsidR="00C3576F" w:rsidRPr="00CF3BA2">
        <w:rPr>
          <w:i/>
          <w:spacing w:val="-4"/>
          <w:sz w:val="24"/>
          <w:szCs w:val="24"/>
          <w:lang w:val="kk-KZ"/>
        </w:rPr>
        <w:t>доза</w:t>
      </w:r>
    </w:p>
    <w:p w14:paraId="26F2C874" w14:textId="77777777" w:rsidR="00C25B98" w:rsidRPr="00CF3BA2" w:rsidRDefault="00C25B98" w:rsidP="00C25B98">
      <w:pPr>
        <w:jc w:val="both"/>
        <w:rPr>
          <w:sz w:val="24"/>
          <w:szCs w:val="24"/>
          <w:lang w:val="kk-KZ"/>
        </w:rPr>
      </w:pPr>
      <w:r w:rsidRPr="00CF3BA2">
        <w:rPr>
          <w:sz w:val="24"/>
          <w:szCs w:val="24"/>
          <w:lang w:val="kk-KZ"/>
        </w:rPr>
        <w:t xml:space="preserve">Севеламер карбонатының ұсынылатын бастапқы дозасы клиникалық қажеттілігіне және қан сарысуындағы фосфор деңгейіне байланысты, тәулігіне 2.4 г немесе 4.8 г құрайды. Севроже препаратын күніне 3 рет тамақтану кезінде қабылдаған жөн. </w:t>
      </w:r>
    </w:p>
    <w:p w14:paraId="4B00D751" w14:textId="77777777" w:rsidR="00C25B98" w:rsidRPr="00CF3BA2" w:rsidRDefault="00C25B98" w:rsidP="00C25B98">
      <w:pPr>
        <w:jc w:val="both"/>
        <w:rPr>
          <w:sz w:val="24"/>
          <w:szCs w:val="24"/>
          <w:lang w:val="kk-KZ"/>
        </w:rPr>
      </w:pPr>
      <w:r w:rsidRPr="00CF3BA2">
        <w:rPr>
          <w:sz w:val="24"/>
          <w:szCs w:val="24"/>
          <w:lang w:val="kk-KZ"/>
        </w:rPr>
        <w:t>Бастапқы дозасын есептеу үшін келесі дозалау режимі және біріктірілімдер ұсынылады: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351"/>
      </w:tblGrid>
      <w:tr w:rsidR="00C25B98" w:rsidRPr="00CF3BA2" w14:paraId="7DCDD53B" w14:textId="77777777" w:rsidTr="003D29FC">
        <w:tc>
          <w:tcPr>
            <w:tcW w:w="3828" w:type="dxa"/>
            <w:shd w:val="clear" w:color="auto" w:fill="auto"/>
          </w:tcPr>
          <w:p w14:paraId="7A511BB5" w14:textId="77777777" w:rsidR="00C25B98" w:rsidRPr="00CF3BA2" w:rsidRDefault="00C25B98" w:rsidP="003D29FC">
            <w:pPr>
              <w:jc w:val="both"/>
              <w:rPr>
                <w:sz w:val="24"/>
                <w:szCs w:val="24"/>
                <w:lang w:val="kk-KZ"/>
              </w:rPr>
            </w:pPr>
            <w:r w:rsidRPr="00CF3BA2">
              <w:rPr>
                <w:sz w:val="24"/>
                <w:szCs w:val="24"/>
                <w:lang w:val="kk-KZ"/>
              </w:rPr>
              <w:t>Пациенттердің қан сарысуындағы фосфор деңгейі</w:t>
            </w:r>
          </w:p>
        </w:tc>
        <w:tc>
          <w:tcPr>
            <w:tcW w:w="5351" w:type="dxa"/>
            <w:shd w:val="clear" w:color="auto" w:fill="auto"/>
          </w:tcPr>
          <w:p w14:paraId="14A0F46E" w14:textId="77777777" w:rsidR="00C25B98" w:rsidRPr="00CF3BA2" w:rsidRDefault="00C25B98" w:rsidP="003D29FC">
            <w:pPr>
              <w:jc w:val="both"/>
              <w:rPr>
                <w:sz w:val="24"/>
                <w:szCs w:val="24"/>
                <w:lang w:val="kk-KZ"/>
              </w:rPr>
            </w:pPr>
            <w:r w:rsidRPr="00CF3BA2">
              <w:rPr>
                <w:sz w:val="24"/>
                <w:szCs w:val="24"/>
                <w:lang w:val="kk-KZ"/>
              </w:rPr>
              <w:t>Күніне 3 рет тамақтану кезінде қабылданатын севеламер карбонатының жалпы тәуліктік дозасы</w:t>
            </w:r>
          </w:p>
        </w:tc>
      </w:tr>
      <w:tr w:rsidR="00C25B98" w:rsidRPr="00CF3BA2" w14:paraId="6CDF2165" w14:textId="77777777" w:rsidTr="003D29FC">
        <w:tc>
          <w:tcPr>
            <w:tcW w:w="3828" w:type="dxa"/>
            <w:shd w:val="clear" w:color="auto" w:fill="auto"/>
          </w:tcPr>
          <w:p w14:paraId="5C7A3E41" w14:textId="77777777" w:rsidR="00C25B98" w:rsidRPr="00CF3BA2" w:rsidRDefault="00C25B98" w:rsidP="003D29FC">
            <w:pPr>
              <w:jc w:val="both"/>
              <w:rPr>
                <w:sz w:val="24"/>
                <w:szCs w:val="24"/>
                <w:lang w:val="kk-KZ"/>
              </w:rPr>
            </w:pPr>
            <w:r w:rsidRPr="00CF3BA2">
              <w:rPr>
                <w:sz w:val="24"/>
                <w:szCs w:val="24"/>
                <w:lang w:val="kk-KZ"/>
              </w:rPr>
              <w:t>1.78 – 2.42 ммоль/л (5.5- 7.5 мг/дл)</w:t>
            </w:r>
          </w:p>
        </w:tc>
        <w:tc>
          <w:tcPr>
            <w:tcW w:w="5351" w:type="dxa"/>
            <w:shd w:val="clear" w:color="auto" w:fill="auto"/>
          </w:tcPr>
          <w:p w14:paraId="58B32D56" w14:textId="77777777" w:rsidR="00C25B98" w:rsidRPr="00CF3BA2" w:rsidRDefault="00C25B98" w:rsidP="003D29FC">
            <w:pPr>
              <w:jc w:val="both"/>
              <w:rPr>
                <w:sz w:val="24"/>
                <w:szCs w:val="24"/>
                <w:lang w:val="kk-KZ"/>
              </w:rPr>
            </w:pPr>
            <w:r w:rsidRPr="00CF3BA2">
              <w:rPr>
                <w:sz w:val="24"/>
                <w:szCs w:val="24"/>
                <w:lang w:val="kk-KZ"/>
              </w:rPr>
              <w:t>2.4 г* (күніне 3 рет  800 мг 1 таблеткадан)</w:t>
            </w:r>
          </w:p>
        </w:tc>
      </w:tr>
      <w:tr w:rsidR="00C25B98" w:rsidRPr="00CF3BA2" w14:paraId="611E407F" w14:textId="77777777" w:rsidTr="003D29FC">
        <w:tc>
          <w:tcPr>
            <w:tcW w:w="3828" w:type="dxa"/>
            <w:shd w:val="clear" w:color="auto" w:fill="auto"/>
          </w:tcPr>
          <w:p w14:paraId="471101C6" w14:textId="77777777" w:rsidR="00C25B98" w:rsidRPr="00CF3BA2" w:rsidRDefault="00C25B98" w:rsidP="003D29FC">
            <w:pPr>
              <w:jc w:val="both"/>
              <w:rPr>
                <w:sz w:val="24"/>
                <w:szCs w:val="24"/>
                <w:lang w:val="kk-KZ"/>
              </w:rPr>
            </w:pPr>
            <w:r w:rsidRPr="00CF3BA2">
              <w:rPr>
                <w:sz w:val="24"/>
                <w:szCs w:val="24"/>
                <w:lang w:val="kk-KZ"/>
              </w:rPr>
              <w:t>&gt; 2.42 ммоль/л (&gt; 7.5 мг/дл)</w:t>
            </w:r>
          </w:p>
        </w:tc>
        <w:tc>
          <w:tcPr>
            <w:tcW w:w="5351" w:type="dxa"/>
            <w:shd w:val="clear" w:color="auto" w:fill="auto"/>
          </w:tcPr>
          <w:p w14:paraId="727DD9ED" w14:textId="77777777" w:rsidR="00C25B98" w:rsidRPr="00CF3BA2" w:rsidRDefault="00C25B98" w:rsidP="003D29FC">
            <w:pPr>
              <w:jc w:val="both"/>
              <w:rPr>
                <w:sz w:val="24"/>
                <w:szCs w:val="24"/>
                <w:lang w:val="kk-KZ"/>
              </w:rPr>
            </w:pPr>
            <w:r w:rsidRPr="00CF3BA2">
              <w:rPr>
                <w:sz w:val="24"/>
                <w:szCs w:val="24"/>
                <w:lang w:val="kk-KZ"/>
              </w:rPr>
              <w:t>4.8 г* (күніне 3 рет  800 мг 2 таблеткадан)</w:t>
            </w:r>
          </w:p>
        </w:tc>
      </w:tr>
    </w:tbl>
    <w:p w14:paraId="54C865B6" w14:textId="609D3B73" w:rsidR="00C25B98" w:rsidRPr="00CF3BA2" w:rsidRDefault="00C25B98">
      <w:pPr>
        <w:pStyle w:val="a3"/>
        <w:ind w:right="236"/>
        <w:rPr>
          <w:lang w:val="kk-KZ"/>
        </w:rPr>
      </w:pPr>
      <w:r w:rsidRPr="00CF3BA2">
        <w:rPr>
          <w:lang w:val="kk-KZ"/>
        </w:rPr>
        <w:t xml:space="preserve">  * плюс нұсқаулықтарға сәйкес кейінгі титрлеу</w:t>
      </w:r>
    </w:p>
    <w:p w14:paraId="6F424BD5" w14:textId="77777777" w:rsidR="00C25B98" w:rsidRPr="00CF3BA2" w:rsidRDefault="00C25B98" w:rsidP="00C25B98">
      <w:pPr>
        <w:pStyle w:val="a3"/>
        <w:spacing w:before="65"/>
        <w:ind w:right="231"/>
        <w:rPr>
          <w:lang w:val="kk-KZ"/>
        </w:rPr>
      </w:pPr>
      <w:r w:rsidRPr="00CF3BA2">
        <w:rPr>
          <w:lang w:val="kk-KZ"/>
        </w:rPr>
        <w:t>Бұрын фосфат байланыстыратын препараттар (севеламер гидрохлориді немесе кальций негізіндегі препараттар) қабылдаған пациенттер үшін, Севроже дәрілік затын оңтайлы тәуліктік дозаны қамтамасыз ету үшін қан сарысуындағы фосфор деңгейін бақылай отырып, грамға грамм есебімен тағайындаған жөн.</w:t>
      </w:r>
    </w:p>
    <w:p w14:paraId="5D642B1B" w14:textId="77777777" w:rsidR="00C25B98" w:rsidRPr="00CF3BA2" w:rsidRDefault="00C25B98" w:rsidP="00C25B98">
      <w:pPr>
        <w:pStyle w:val="a3"/>
        <w:spacing w:before="65"/>
        <w:ind w:right="231"/>
        <w:rPr>
          <w:i/>
          <w:iCs/>
          <w:lang w:val="kk-KZ"/>
        </w:rPr>
      </w:pPr>
      <w:r w:rsidRPr="00CF3BA2">
        <w:rPr>
          <w:i/>
          <w:iCs/>
          <w:lang w:val="kk-KZ"/>
        </w:rPr>
        <w:t>Титрлеу және демеу</w:t>
      </w:r>
    </w:p>
    <w:p w14:paraId="66D6870B" w14:textId="30B05008" w:rsidR="00C25B98" w:rsidRPr="00CF3BA2" w:rsidRDefault="00C25B98" w:rsidP="00C25B98">
      <w:pPr>
        <w:pStyle w:val="a3"/>
        <w:spacing w:before="65"/>
        <w:ind w:right="231"/>
        <w:rPr>
          <w:lang w:val="kk-KZ"/>
        </w:rPr>
      </w:pPr>
      <w:r w:rsidRPr="00CF3BA2">
        <w:rPr>
          <w:lang w:val="kk-KZ"/>
        </w:rPr>
        <w:lastRenderedPageBreak/>
        <w:t xml:space="preserve">Қан сарысуындағы фосфор деңгейі бақылануы тиіс. Күніне үш рет 0.8 г-ге дейін (күніне 2.4 г) титрленген севеламер карбонатының дозасы, қан сарысуындағы фосфордың қолданылатын деңгейіне жеткенше, әрбір 2-4 апта сайын арттырылады, әрі қарай жүйелі мониторинг жасалады.  </w:t>
      </w:r>
    </w:p>
    <w:p w14:paraId="324CB893" w14:textId="35B4509B" w:rsidR="005245B3" w:rsidRPr="00CF3BA2" w:rsidRDefault="00C25B98" w:rsidP="00C25B98">
      <w:pPr>
        <w:pStyle w:val="a3"/>
        <w:spacing w:before="65"/>
        <w:ind w:right="231"/>
        <w:rPr>
          <w:lang w:val="kk-KZ"/>
        </w:rPr>
      </w:pPr>
      <w:r w:rsidRPr="00CF3BA2">
        <w:rPr>
          <w:lang w:val="kk-KZ"/>
        </w:rPr>
        <w:t>Севроже препаратын қабылдап жүрген пациенттер олар үшін белгіленген диетаны ұстануы тиіс</w:t>
      </w:r>
      <w:r w:rsidR="00C3576F" w:rsidRPr="00CF3BA2">
        <w:rPr>
          <w:lang w:val="kk-KZ"/>
        </w:rPr>
        <w:t>.</w:t>
      </w:r>
    </w:p>
    <w:p w14:paraId="4451B6C5" w14:textId="6347A753" w:rsidR="005245B3" w:rsidRPr="00CF3BA2" w:rsidRDefault="00C25B98">
      <w:pPr>
        <w:spacing w:line="271" w:lineRule="exact"/>
        <w:ind w:left="219"/>
        <w:jc w:val="both"/>
        <w:rPr>
          <w:i/>
          <w:sz w:val="24"/>
          <w:szCs w:val="24"/>
          <w:lang w:val="kk-KZ"/>
        </w:rPr>
      </w:pPr>
      <w:r w:rsidRPr="00CF3BA2">
        <w:rPr>
          <w:i/>
          <w:sz w:val="24"/>
          <w:szCs w:val="24"/>
          <w:lang w:val="kk-KZ"/>
        </w:rPr>
        <w:t>Емдеу ұзақтығы</w:t>
      </w:r>
    </w:p>
    <w:p w14:paraId="0DDD7577" w14:textId="1CBD705E" w:rsidR="005245B3" w:rsidRPr="00CF3BA2" w:rsidRDefault="00C25B98">
      <w:pPr>
        <w:pStyle w:val="a3"/>
        <w:spacing w:before="1"/>
        <w:ind w:right="234"/>
        <w:rPr>
          <w:lang w:val="kk-KZ"/>
        </w:rPr>
      </w:pPr>
      <w:r w:rsidRPr="00CF3BA2">
        <w:rPr>
          <w:lang w:val="kk-KZ"/>
        </w:rPr>
        <w:t>Қан сарысуындағы фосфор деңгейін бақылау қажеттілігіне қарай емдеу үздіксіз болуы тиіс. Тәуліктік доза күніне орта есеппен 6 г жуық болады деп күтіледі</w:t>
      </w:r>
      <w:r w:rsidR="00C3576F" w:rsidRPr="00CF3BA2">
        <w:rPr>
          <w:lang w:val="kk-KZ"/>
        </w:rPr>
        <w:t>.</w:t>
      </w:r>
    </w:p>
    <w:p w14:paraId="03F01E2A" w14:textId="6FB4B4E4" w:rsidR="005245B3" w:rsidRPr="00CF3BA2" w:rsidRDefault="00C25B98">
      <w:pPr>
        <w:pStyle w:val="2"/>
        <w:spacing w:before="2"/>
        <w:jc w:val="left"/>
        <w:rPr>
          <w:lang w:val="kk-KZ"/>
        </w:rPr>
      </w:pPr>
      <w:r w:rsidRPr="00CF3BA2">
        <w:rPr>
          <w:lang w:val="kk-KZ"/>
        </w:rPr>
        <w:t>Пациенттердің ерекше топтары</w:t>
      </w:r>
    </w:p>
    <w:p w14:paraId="1EAA0FD5" w14:textId="77777777" w:rsidR="006C1C65" w:rsidRPr="00CF3BA2" w:rsidRDefault="00C25B98" w:rsidP="006C1C65">
      <w:pPr>
        <w:spacing w:line="274" w:lineRule="exact"/>
        <w:ind w:left="219"/>
        <w:rPr>
          <w:i/>
          <w:spacing w:val="-4"/>
          <w:sz w:val="24"/>
          <w:szCs w:val="24"/>
          <w:lang w:val="kk-KZ"/>
        </w:rPr>
      </w:pPr>
      <w:bookmarkStart w:id="1" w:name="Дети"/>
      <w:bookmarkEnd w:id="1"/>
      <w:r w:rsidRPr="00CF3BA2">
        <w:rPr>
          <w:i/>
          <w:spacing w:val="-4"/>
          <w:sz w:val="24"/>
          <w:szCs w:val="24"/>
          <w:lang w:val="kk-KZ"/>
        </w:rPr>
        <w:t>Балалар</w:t>
      </w:r>
    </w:p>
    <w:p w14:paraId="6A366647" w14:textId="77777777" w:rsidR="006C1C65" w:rsidRPr="00CF3BA2" w:rsidRDefault="006C1C65" w:rsidP="006C1C65">
      <w:pPr>
        <w:spacing w:line="274" w:lineRule="exact"/>
        <w:ind w:left="219"/>
        <w:rPr>
          <w:sz w:val="24"/>
          <w:szCs w:val="24"/>
          <w:lang w:val="kk-KZ"/>
        </w:rPr>
      </w:pPr>
      <w:r w:rsidRPr="00CF3BA2">
        <w:rPr>
          <w:sz w:val="24"/>
          <w:szCs w:val="24"/>
          <w:lang w:val="kk-KZ"/>
        </w:rPr>
        <w:t>6 жасқа дейінгі және дене беткейінің ауданы 0.75 м</w:t>
      </w:r>
      <w:r w:rsidRPr="00CF3BA2">
        <w:rPr>
          <w:sz w:val="24"/>
          <w:szCs w:val="24"/>
          <w:vertAlign w:val="superscript"/>
          <w:lang w:val="kk-KZ"/>
        </w:rPr>
        <w:t>2</w:t>
      </w:r>
      <w:r w:rsidRPr="00CF3BA2">
        <w:rPr>
          <w:sz w:val="24"/>
          <w:szCs w:val="24"/>
          <w:lang w:val="kk-KZ"/>
        </w:rPr>
        <w:t>-ден кем балаларға   Севроже препаратын қолданудың қауіпсіздігі мен тиімділігі анықталмаған. Қолжетімді деректер жоқ.</w:t>
      </w:r>
    </w:p>
    <w:p w14:paraId="1E778574" w14:textId="11B1B9ED" w:rsidR="006C1C65" w:rsidRPr="00CF3BA2" w:rsidRDefault="006C1C65" w:rsidP="006C1C65">
      <w:pPr>
        <w:spacing w:line="274" w:lineRule="exact"/>
        <w:ind w:left="219"/>
        <w:rPr>
          <w:sz w:val="24"/>
          <w:szCs w:val="24"/>
          <w:lang w:val="kk-KZ"/>
        </w:rPr>
      </w:pPr>
      <w:r w:rsidRPr="00CF3BA2">
        <w:rPr>
          <w:sz w:val="24"/>
          <w:szCs w:val="24"/>
          <w:lang w:val="kk-KZ"/>
        </w:rPr>
        <w:t>6 жастан асқан балаларда немесе дене беткейінің ауданы &gt; 0.75 м</w:t>
      </w:r>
      <w:r w:rsidRPr="00CF3BA2">
        <w:rPr>
          <w:sz w:val="24"/>
          <w:szCs w:val="24"/>
          <w:vertAlign w:val="superscript"/>
          <w:lang w:val="kk-KZ"/>
        </w:rPr>
        <w:t>2</w:t>
      </w:r>
      <w:r w:rsidRPr="00CF3BA2">
        <w:rPr>
          <w:sz w:val="24"/>
          <w:szCs w:val="24"/>
          <w:lang w:val="kk-KZ"/>
        </w:rPr>
        <w:t xml:space="preserve"> болатын балаларда Севрожені қолданудың қауіпсіздігі мен тиімділігі анықталды.  Қолжетімді деректерді 5.1 бөлімінен қараңыз.</w:t>
      </w:r>
    </w:p>
    <w:p w14:paraId="05D9BA35" w14:textId="78EFCF49" w:rsidR="005245B3" w:rsidRPr="00CF3BA2" w:rsidRDefault="006C1C65" w:rsidP="006C1C65">
      <w:pPr>
        <w:pStyle w:val="a3"/>
        <w:spacing w:line="242" w:lineRule="auto"/>
        <w:ind w:right="228"/>
        <w:rPr>
          <w:lang w:val="kk-KZ"/>
        </w:rPr>
      </w:pPr>
      <w:r w:rsidRPr="00CF3BA2">
        <w:rPr>
          <w:lang w:val="kk-KZ"/>
        </w:rPr>
        <w:t>Бала жастағы пациенттер үшін прероральді қолдануға арналған суспензия тағайындалады, өйткені пациенттердің осы тобына арналған таблеткалар қолайлы емес</w:t>
      </w:r>
      <w:r w:rsidR="00C3576F" w:rsidRPr="00CF3BA2">
        <w:rPr>
          <w:lang w:val="kk-KZ"/>
        </w:rPr>
        <w:t>.</w:t>
      </w:r>
    </w:p>
    <w:p w14:paraId="690EE38A" w14:textId="77777777" w:rsidR="002E338B" w:rsidRPr="00CF3BA2" w:rsidRDefault="002E338B" w:rsidP="002E338B">
      <w:pPr>
        <w:pStyle w:val="a3"/>
        <w:spacing w:line="242" w:lineRule="auto"/>
        <w:ind w:right="228"/>
        <w:rPr>
          <w:i/>
          <w:iCs/>
          <w:lang w:val="kk-KZ"/>
        </w:rPr>
      </w:pPr>
      <w:r w:rsidRPr="00CF3BA2">
        <w:rPr>
          <w:i/>
          <w:iCs/>
          <w:lang w:val="kk-KZ"/>
        </w:rPr>
        <w:t>Егде жастағы пациенттер</w:t>
      </w:r>
    </w:p>
    <w:p w14:paraId="7B3C0304" w14:textId="77777777" w:rsidR="002E338B" w:rsidRPr="00CF3BA2" w:rsidRDefault="002E338B" w:rsidP="002E338B">
      <w:pPr>
        <w:pStyle w:val="a3"/>
        <w:spacing w:line="242" w:lineRule="auto"/>
        <w:ind w:right="228"/>
        <w:rPr>
          <w:lang w:val="kk-KZ"/>
        </w:rPr>
      </w:pPr>
      <w:r w:rsidRPr="00CF3BA2">
        <w:rPr>
          <w:lang w:val="kk-KZ"/>
        </w:rPr>
        <w:t>Пациенттердің осы тобы үшін дозаны түзету талап етілмейді.</w:t>
      </w:r>
    </w:p>
    <w:p w14:paraId="484CA125" w14:textId="77777777" w:rsidR="002E338B" w:rsidRPr="00CF3BA2" w:rsidRDefault="002E338B" w:rsidP="002E338B">
      <w:pPr>
        <w:pStyle w:val="a3"/>
        <w:spacing w:line="242" w:lineRule="auto"/>
        <w:ind w:right="228"/>
        <w:rPr>
          <w:i/>
          <w:iCs/>
          <w:lang w:val="kk-KZ"/>
        </w:rPr>
      </w:pPr>
      <w:r w:rsidRPr="00CF3BA2">
        <w:rPr>
          <w:i/>
          <w:iCs/>
          <w:lang w:val="kk-KZ"/>
        </w:rPr>
        <w:t>Бауыр жеткіліксіздігі бар пациенттер</w:t>
      </w:r>
    </w:p>
    <w:p w14:paraId="362FA611" w14:textId="797314E8" w:rsidR="005245B3" w:rsidRPr="00CF3BA2" w:rsidRDefault="002E338B" w:rsidP="002E338B">
      <w:pPr>
        <w:pStyle w:val="a3"/>
        <w:spacing w:line="242" w:lineRule="auto"/>
        <w:ind w:right="228"/>
        <w:rPr>
          <w:lang w:val="kk-KZ"/>
        </w:rPr>
      </w:pPr>
      <w:r w:rsidRPr="00CF3BA2">
        <w:rPr>
          <w:lang w:val="kk-KZ"/>
        </w:rPr>
        <w:t>Пациенттердің осы тобы үшін зерттеулер жүргізілген жоқ</w:t>
      </w:r>
      <w:bookmarkStart w:id="2" w:name="Пациенты_пожилого_возраста"/>
      <w:bookmarkEnd w:id="2"/>
      <w:r w:rsidR="00C3576F" w:rsidRPr="00CF3BA2">
        <w:rPr>
          <w:spacing w:val="-2"/>
          <w:lang w:val="kk-KZ"/>
        </w:rPr>
        <w:t>.</w:t>
      </w:r>
    </w:p>
    <w:p w14:paraId="5D0297D7" w14:textId="00A94BE8" w:rsidR="005245B3" w:rsidRPr="00CF3BA2" w:rsidRDefault="002E338B">
      <w:pPr>
        <w:pStyle w:val="2"/>
        <w:spacing w:before="2"/>
        <w:jc w:val="left"/>
        <w:rPr>
          <w:lang w:val="kk-KZ"/>
        </w:rPr>
      </w:pPr>
      <w:r w:rsidRPr="00CF3BA2">
        <w:rPr>
          <w:lang w:val="kk-KZ"/>
        </w:rPr>
        <w:t>Қолдану тәсілі</w:t>
      </w:r>
    </w:p>
    <w:p w14:paraId="7DCAB197" w14:textId="77777777" w:rsidR="006B395E" w:rsidRPr="00CF3BA2" w:rsidRDefault="006B395E" w:rsidP="006B395E">
      <w:pPr>
        <w:pStyle w:val="a3"/>
        <w:ind w:right="238"/>
        <w:rPr>
          <w:lang w:val="kk-KZ"/>
        </w:rPr>
      </w:pPr>
      <w:r w:rsidRPr="00CF3BA2">
        <w:rPr>
          <w:lang w:val="kk-KZ"/>
        </w:rPr>
        <w:t>Пероральді қолдануға арналған.</w:t>
      </w:r>
    </w:p>
    <w:p w14:paraId="476B5120" w14:textId="3E170A2B" w:rsidR="005245B3" w:rsidRPr="00CF3BA2" w:rsidRDefault="006B395E" w:rsidP="006B395E">
      <w:pPr>
        <w:pStyle w:val="a3"/>
        <w:ind w:right="238"/>
        <w:rPr>
          <w:lang w:val="kk-KZ"/>
        </w:rPr>
      </w:pPr>
      <w:r w:rsidRPr="00CF3BA2">
        <w:rPr>
          <w:lang w:val="kk-KZ"/>
        </w:rPr>
        <w:t>Таблеткаларды қабылдар алдында ұсақтамай, шайнамай немесе бөлшектеп сындырмай, тұтастай жұтқан жөн. Севроже препаратын тамақпен бірге қабылдау керек, бос асқазанға қабылдауға болмайды</w:t>
      </w:r>
      <w:r w:rsidR="00C3576F" w:rsidRPr="00CF3BA2">
        <w:rPr>
          <w:lang w:val="kk-KZ"/>
        </w:rPr>
        <w:t>.</w:t>
      </w:r>
    </w:p>
    <w:p w14:paraId="7B14136F" w14:textId="77777777" w:rsidR="005245B3" w:rsidRPr="00CF3BA2" w:rsidRDefault="005245B3">
      <w:pPr>
        <w:pStyle w:val="a3"/>
        <w:spacing w:before="4"/>
        <w:ind w:left="0"/>
        <w:jc w:val="left"/>
        <w:rPr>
          <w:lang w:val="kk-KZ"/>
        </w:rPr>
      </w:pPr>
    </w:p>
    <w:p w14:paraId="4C3A8F38" w14:textId="02C9C59C" w:rsidR="005245B3" w:rsidRPr="00CF3BA2" w:rsidRDefault="006B395E">
      <w:pPr>
        <w:pStyle w:val="2"/>
        <w:numPr>
          <w:ilvl w:val="1"/>
          <w:numId w:val="3"/>
        </w:numPr>
        <w:tabs>
          <w:tab w:val="left" w:pos="585"/>
        </w:tabs>
        <w:spacing w:before="1"/>
        <w:rPr>
          <w:lang w:val="kk-KZ"/>
        </w:rPr>
      </w:pPr>
      <w:r w:rsidRPr="00CF3BA2">
        <w:rPr>
          <w:spacing w:val="-2"/>
          <w:lang w:val="kk-KZ"/>
        </w:rPr>
        <w:t xml:space="preserve"> </w:t>
      </w:r>
      <w:r w:rsidR="005D54EA" w:rsidRPr="00CF3BA2">
        <w:rPr>
          <w:spacing w:val="-2"/>
          <w:lang w:val="kk-KZ"/>
        </w:rPr>
        <w:t>Қолдануға болмайтын жағдайлар</w:t>
      </w:r>
    </w:p>
    <w:p w14:paraId="7D9547F5" w14:textId="50BC7684" w:rsidR="005245B3" w:rsidRPr="00CF3BA2" w:rsidRDefault="005D54EA" w:rsidP="005D54EA">
      <w:pPr>
        <w:pStyle w:val="a5"/>
        <w:numPr>
          <w:ilvl w:val="2"/>
          <w:numId w:val="3"/>
        </w:numPr>
        <w:tabs>
          <w:tab w:val="left" w:pos="374"/>
        </w:tabs>
        <w:spacing w:before="1" w:line="237" w:lineRule="auto"/>
        <w:ind w:right="233" w:firstLine="0"/>
        <w:rPr>
          <w:sz w:val="24"/>
          <w:szCs w:val="24"/>
          <w:lang w:val="kk-KZ"/>
        </w:rPr>
      </w:pPr>
      <w:r w:rsidRPr="00CF3BA2">
        <w:rPr>
          <w:sz w:val="24"/>
          <w:szCs w:val="24"/>
          <w:lang w:val="kk-KZ"/>
        </w:rPr>
        <w:t>әсер етуші затқа немесе 6.1 бөлімінде тізбеленген қосымша заттардың кез келгеніне аса жоғары сезімталдық</w:t>
      </w:r>
    </w:p>
    <w:p w14:paraId="62F6826E" w14:textId="77777777" w:rsidR="005245B3" w:rsidRPr="00CF3BA2" w:rsidRDefault="00C3576F">
      <w:pPr>
        <w:pStyle w:val="a5"/>
        <w:numPr>
          <w:ilvl w:val="2"/>
          <w:numId w:val="3"/>
        </w:numPr>
        <w:tabs>
          <w:tab w:val="left" w:pos="364"/>
        </w:tabs>
        <w:spacing w:before="3"/>
        <w:ind w:left="363" w:hanging="145"/>
        <w:jc w:val="left"/>
        <w:rPr>
          <w:sz w:val="24"/>
          <w:szCs w:val="24"/>
          <w:lang w:val="kk-KZ"/>
        </w:rPr>
      </w:pPr>
      <w:r w:rsidRPr="00CF3BA2">
        <w:rPr>
          <w:spacing w:val="-2"/>
          <w:sz w:val="24"/>
          <w:szCs w:val="24"/>
          <w:lang w:val="kk-KZ"/>
        </w:rPr>
        <w:t>гипофосфатемия</w:t>
      </w:r>
    </w:p>
    <w:p w14:paraId="25F69CB1" w14:textId="57429373" w:rsidR="005245B3" w:rsidRPr="00CF3BA2" w:rsidRDefault="005D54EA">
      <w:pPr>
        <w:pStyle w:val="a5"/>
        <w:numPr>
          <w:ilvl w:val="2"/>
          <w:numId w:val="3"/>
        </w:numPr>
        <w:tabs>
          <w:tab w:val="left" w:pos="364"/>
        </w:tabs>
        <w:ind w:left="363" w:hanging="145"/>
        <w:jc w:val="left"/>
        <w:rPr>
          <w:sz w:val="24"/>
          <w:szCs w:val="24"/>
          <w:lang w:val="kk-KZ"/>
        </w:rPr>
      </w:pPr>
      <w:r w:rsidRPr="00CF3BA2">
        <w:rPr>
          <w:sz w:val="24"/>
          <w:szCs w:val="24"/>
          <w:lang w:val="kk-KZ"/>
        </w:rPr>
        <w:t>ішек бітелісі</w:t>
      </w:r>
      <w:r w:rsidR="00C3576F" w:rsidRPr="00CF3BA2">
        <w:rPr>
          <w:spacing w:val="-2"/>
          <w:sz w:val="24"/>
          <w:szCs w:val="24"/>
          <w:lang w:val="kk-KZ"/>
        </w:rPr>
        <w:t>.</w:t>
      </w:r>
    </w:p>
    <w:p w14:paraId="00E5E6E8" w14:textId="77777777" w:rsidR="005245B3" w:rsidRPr="00CF3BA2" w:rsidRDefault="005245B3">
      <w:pPr>
        <w:pStyle w:val="a3"/>
        <w:spacing w:before="5"/>
        <w:ind w:left="0"/>
        <w:jc w:val="left"/>
        <w:rPr>
          <w:lang w:val="kk-KZ"/>
        </w:rPr>
      </w:pPr>
    </w:p>
    <w:p w14:paraId="0ED7F307" w14:textId="5107C230" w:rsidR="005245B3" w:rsidRPr="00CF3BA2" w:rsidRDefault="005D54EA">
      <w:pPr>
        <w:pStyle w:val="2"/>
        <w:numPr>
          <w:ilvl w:val="1"/>
          <w:numId w:val="3"/>
        </w:numPr>
        <w:tabs>
          <w:tab w:val="left" w:pos="585"/>
        </w:tabs>
        <w:rPr>
          <w:lang w:val="kk-KZ"/>
        </w:rPr>
      </w:pPr>
      <w:r w:rsidRPr="00CF3BA2">
        <w:rPr>
          <w:lang w:val="kk-KZ"/>
        </w:rPr>
        <w:t xml:space="preserve"> Айрықша нұсқаулар және қолдану кезіндегі сақтандыру шаралары</w:t>
      </w:r>
    </w:p>
    <w:p w14:paraId="53FA8A29" w14:textId="41C6D85C" w:rsidR="005D54EA" w:rsidRPr="00CF3BA2" w:rsidRDefault="005D54EA" w:rsidP="005D54EA">
      <w:pPr>
        <w:pStyle w:val="a3"/>
        <w:ind w:right="225"/>
        <w:rPr>
          <w:lang w:val="kk-KZ"/>
        </w:rPr>
      </w:pPr>
      <w:r w:rsidRPr="00CF3BA2">
        <w:rPr>
          <w:lang w:val="kk-KZ"/>
        </w:rPr>
        <w:t>Севроже препаратының қауіпсіздігі мен тиімділігі қан сарысуындағы фосфордың концентрациясы &lt;1.78 ммоль/л болатын, диализ</w:t>
      </w:r>
      <w:r w:rsidR="00EF77E1">
        <w:rPr>
          <w:lang w:val="kk-KZ"/>
        </w:rPr>
        <w:t xml:space="preserve"> жүргізілмейтін</w:t>
      </w:r>
      <w:r w:rsidRPr="00CF3BA2">
        <w:rPr>
          <w:lang w:val="kk-KZ"/>
        </w:rPr>
        <w:t>, бүйректің созылмалы ауруы бар ересек пациенттер үшін анықталған жоқ. Сондықтан Севроже мұндай пациенттерде пайдалану үшін ұсынылмайды.</w:t>
      </w:r>
    </w:p>
    <w:p w14:paraId="4D931DA9" w14:textId="77777777" w:rsidR="005D54EA" w:rsidRPr="00CF3BA2" w:rsidRDefault="005D54EA" w:rsidP="005D54EA">
      <w:pPr>
        <w:pStyle w:val="a3"/>
        <w:ind w:right="225"/>
        <w:rPr>
          <w:lang w:val="kk-KZ"/>
        </w:rPr>
      </w:pPr>
      <w:r w:rsidRPr="00CF3BA2">
        <w:rPr>
          <w:lang w:val="kk-KZ"/>
        </w:rPr>
        <w:t>Севроже препаратының тиімділігі мен қауіпсіздігіне зерттеулер келесі аурулары бар пациенттерде жүргізілген жоқ:</w:t>
      </w:r>
    </w:p>
    <w:p w14:paraId="1FE5C346" w14:textId="77777777" w:rsidR="005D54EA" w:rsidRPr="00CF3BA2" w:rsidRDefault="005D54EA" w:rsidP="005D54EA">
      <w:pPr>
        <w:pStyle w:val="a3"/>
        <w:ind w:right="225"/>
        <w:rPr>
          <w:lang w:val="kk-KZ"/>
        </w:rPr>
      </w:pPr>
      <w:r w:rsidRPr="00CF3BA2">
        <w:rPr>
          <w:lang w:val="kk-KZ"/>
        </w:rPr>
        <w:t>- дисфагия;</w:t>
      </w:r>
    </w:p>
    <w:p w14:paraId="022D6826" w14:textId="4C8116F7" w:rsidR="005245B3" w:rsidRPr="00CF3BA2" w:rsidRDefault="005D54EA" w:rsidP="005D54EA">
      <w:pPr>
        <w:pStyle w:val="a3"/>
        <w:ind w:right="225"/>
        <w:rPr>
          <w:lang w:val="kk-KZ"/>
        </w:rPr>
      </w:pPr>
      <w:r w:rsidRPr="00CF3BA2">
        <w:rPr>
          <w:lang w:val="kk-KZ"/>
        </w:rPr>
        <w:t>- жұтудың бұзылулары</w:t>
      </w:r>
      <w:r w:rsidR="00C3576F" w:rsidRPr="00CF3BA2">
        <w:rPr>
          <w:spacing w:val="-2"/>
          <w:lang w:val="kk-KZ"/>
        </w:rPr>
        <w:t>;</w:t>
      </w:r>
    </w:p>
    <w:p w14:paraId="496D7FC6" w14:textId="19AC2CF3" w:rsidR="005245B3" w:rsidRPr="00CF3BA2" w:rsidRDefault="005D54EA">
      <w:pPr>
        <w:pStyle w:val="a5"/>
        <w:numPr>
          <w:ilvl w:val="2"/>
          <w:numId w:val="3"/>
        </w:numPr>
        <w:tabs>
          <w:tab w:val="left" w:pos="369"/>
        </w:tabs>
        <w:spacing w:before="66" w:line="240" w:lineRule="auto"/>
        <w:ind w:right="232" w:firstLine="0"/>
        <w:rPr>
          <w:sz w:val="24"/>
          <w:szCs w:val="24"/>
          <w:lang w:val="kk-KZ"/>
        </w:rPr>
      </w:pPr>
      <w:r w:rsidRPr="00CF3BA2">
        <w:rPr>
          <w:sz w:val="24"/>
          <w:szCs w:val="24"/>
          <w:lang w:val="kk-KZ"/>
        </w:rPr>
        <w:t>асқазан-ішек жолы перистальтикасының ауыр бұзылулары, емделмеген немесе ауыр гастропарезді, асқазан ішіндегіcінің іркілуін және ішектің патологиялық немесе жүйесіз перистальтикасын қоса</w:t>
      </w:r>
      <w:r w:rsidR="00C3576F" w:rsidRPr="00CF3BA2">
        <w:rPr>
          <w:sz w:val="24"/>
          <w:szCs w:val="24"/>
          <w:lang w:val="kk-KZ"/>
        </w:rPr>
        <w:t>;</w:t>
      </w:r>
    </w:p>
    <w:p w14:paraId="08CB9B96" w14:textId="0921A33B" w:rsidR="005245B3" w:rsidRPr="00CF3BA2" w:rsidRDefault="005D54EA">
      <w:pPr>
        <w:pStyle w:val="a5"/>
        <w:numPr>
          <w:ilvl w:val="2"/>
          <w:numId w:val="3"/>
        </w:numPr>
        <w:tabs>
          <w:tab w:val="left" w:pos="364"/>
        </w:tabs>
        <w:spacing w:before="3"/>
        <w:ind w:left="363" w:hanging="145"/>
        <w:rPr>
          <w:sz w:val="24"/>
          <w:szCs w:val="24"/>
          <w:lang w:val="kk-KZ"/>
        </w:rPr>
      </w:pPr>
      <w:r w:rsidRPr="00CF3BA2">
        <w:rPr>
          <w:sz w:val="24"/>
          <w:szCs w:val="24"/>
          <w:lang w:val="kk-KZ"/>
        </w:rPr>
        <w:t>ішектің өршу сатысындағы қабыну аурулары</w:t>
      </w:r>
      <w:r w:rsidR="00C3576F" w:rsidRPr="00CF3BA2">
        <w:rPr>
          <w:spacing w:val="-2"/>
          <w:sz w:val="24"/>
          <w:szCs w:val="24"/>
          <w:lang w:val="kk-KZ"/>
        </w:rPr>
        <w:t>;</w:t>
      </w:r>
    </w:p>
    <w:p w14:paraId="061C7601" w14:textId="315B1B4B" w:rsidR="005245B3" w:rsidRPr="00CF3BA2" w:rsidRDefault="005D54EA">
      <w:pPr>
        <w:pStyle w:val="a5"/>
        <w:numPr>
          <w:ilvl w:val="2"/>
          <w:numId w:val="3"/>
        </w:numPr>
        <w:tabs>
          <w:tab w:val="left" w:pos="359"/>
        </w:tabs>
        <w:ind w:left="358" w:hanging="140"/>
        <w:rPr>
          <w:sz w:val="24"/>
          <w:szCs w:val="24"/>
          <w:lang w:val="kk-KZ"/>
        </w:rPr>
      </w:pPr>
      <w:r w:rsidRPr="00CF3BA2">
        <w:rPr>
          <w:sz w:val="24"/>
          <w:szCs w:val="24"/>
          <w:lang w:val="kk-KZ"/>
        </w:rPr>
        <w:t>асқазан-ішек жолына жасалған ауқымды операциялар</w:t>
      </w:r>
      <w:r w:rsidR="00C3576F" w:rsidRPr="00CF3BA2">
        <w:rPr>
          <w:spacing w:val="-2"/>
          <w:sz w:val="24"/>
          <w:szCs w:val="24"/>
          <w:lang w:val="kk-KZ"/>
        </w:rPr>
        <w:t>.</w:t>
      </w:r>
    </w:p>
    <w:p w14:paraId="0CE7B3CC" w14:textId="49AB3E3B" w:rsidR="005245B3" w:rsidRPr="00CF3BA2" w:rsidRDefault="005D54EA">
      <w:pPr>
        <w:pStyle w:val="a3"/>
        <w:spacing w:before="3"/>
        <w:ind w:right="228"/>
        <w:rPr>
          <w:lang w:val="kk-KZ"/>
        </w:rPr>
      </w:pPr>
      <w:r w:rsidRPr="00CF3BA2">
        <w:rPr>
          <w:lang w:val="kk-KZ"/>
        </w:rPr>
        <w:t>Мұндай пациенттерді емдеу абайлап және пайда/қауіпті қайта бағалаудан кейін ғана жүргізілуі тиіс. Егер ем басталса, осы бұзылулардан зардап шегетін пациенттер мониторингте болуы тиіс. Севроже препаратымен емдеуді ауыр іш қату немесе басқа да ауыр асқазан-ішек симптомдары дамитын пациенттерде қайта қарау керек</w:t>
      </w:r>
      <w:r w:rsidR="00C3576F" w:rsidRPr="00CF3BA2">
        <w:rPr>
          <w:lang w:val="kk-KZ"/>
        </w:rPr>
        <w:t>.</w:t>
      </w:r>
    </w:p>
    <w:p w14:paraId="2FE94BC3" w14:textId="09E3EFD3" w:rsidR="005245B3" w:rsidRPr="00CF3BA2" w:rsidRDefault="005D54EA">
      <w:pPr>
        <w:spacing w:line="274" w:lineRule="exact"/>
        <w:ind w:left="219"/>
        <w:jc w:val="both"/>
        <w:rPr>
          <w:i/>
          <w:sz w:val="24"/>
          <w:szCs w:val="24"/>
          <w:lang w:val="kk-KZ"/>
        </w:rPr>
      </w:pPr>
      <w:r w:rsidRPr="00CF3BA2">
        <w:rPr>
          <w:i/>
          <w:iCs/>
          <w:sz w:val="24"/>
          <w:szCs w:val="24"/>
          <w:lang w:val="kk-KZ"/>
        </w:rPr>
        <w:t>Ішек бітелісі (толық және ішінара</w:t>
      </w:r>
      <w:r w:rsidR="00C3576F" w:rsidRPr="00CF3BA2">
        <w:rPr>
          <w:i/>
          <w:spacing w:val="-2"/>
          <w:sz w:val="24"/>
          <w:szCs w:val="24"/>
          <w:lang w:val="kk-KZ"/>
        </w:rPr>
        <w:t>)</w:t>
      </w:r>
    </w:p>
    <w:p w14:paraId="240C4997" w14:textId="1330620E" w:rsidR="005245B3" w:rsidRPr="00CF3BA2" w:rsidRDefault="005D54EA">
      <w:pPr>
        <w:pStyle w:val="a3"/>
        <w:spacing w:before="3"/>
        <w:ind w:right="223"/>
        <w:rPr>
          <w:lang w:val="kk-KZ"/>
        </w:rPr>
      </w:pPr>
      <w:r w:rsidRPr="00CF3BA2">
        <w:rPr>
          <w:lang w:val="kk-KZ"/>
        </w:rPr>
        <w:lastRenderedPageBreak/>
        <w:t>Өте сирек жағдайларда севеламер карбонаты сияқты белсенді ингредиенті бар севеламер гидрохлоридімен (капсулалар/таблеткалар) емдеу кезінде пациенттерде ішек бітелісі (толық немесе ішінара) байқалды. Іш қату алдыңғы симптом болуы мүмкін, сондықтан Севроже препаратын қолдану кезінде іш қату пайда болған жағдайда пациентті мұқият бақылаған жөн. Ауыр іш қату дамыған немесе асқазан-ішек жолының басқа да ауыр бұзылыстары бар пациенттерде Севроже препаратымен емдеуді қайта қарастырған жөн</w:t>
      </w:r>
      <w:r w:rsidR="00C3576F" w:rsidRPr="00CF3BA2">
        <w:rPr>
          <w:lang w:val="kk-KZ"/>
        </w:rPr>
        <w:t>.</w:t>
      </w:r>
    </w:p>
    <w:p w14:paraId="684867CA" w14:textId="77269DD2" w:rsidR="0066775A" w:rsidRPr="00CF3BA2" w:rsidRDefault="005D54EA">
      <w:pPr>
        <w:pStyle w:val="a3"/>
        <w:spacing w:before="2"/>
        <w:ind w:right="226"/>
        <w:rPr>
          <w:i/>
          <w:lang w:val="kk-KZ"/>
        </w:rPr>
      </w:pPr>
      <w:r w:rsidRPr="00CF3BA2">
        <w:rPr>
          <w:i/>
          <w:lang w:val="kk-KZ"/>
        </w:rPr>
        <w:t>Майда еритін дәрумендер және фолаттар тапшылығы</w:t>
      </w:r>
    </w:p>
    <w:p w14:paraId="0CEB784E" w14:textId="2D6282AC" w:rsidR="005245B3" w:rsidRPr="00CF3BA2" w:rsidRDefault="00DE3F5B">
      <w:pPr>
        <w:pStyle w:val="a3"/>
        <w:spacing w:before="2"/>
        <w:ind w:right="226"/>
        <w:rPr>
          <w:lang w:val="kk-KZ"/>
        </w:rPr>
      </w:pPr>
      <w:r w:rsidRPr="00CF3BA2">
        <w:rPr>
          <w:lang w:val="kk-KZ"/>
        </w:rPr>
        <w:t>Бүйректің созылмалы ауруы бар пациенттерде тамақтану сипатына және аурудың ауырлығына байланысты майда еритін А, D, E және К дәрумендерінің деңгейлері төмендеуі мүмкін. Севроже препараты қабылданатын тамақтың құрамындағы майда еритін дәрумендерді байланыстыруға қабілетті екені жоққа шығарылмайды. Севеламер қабылдап жүрген, бірақ дәрумен қоспаларын қабылдап жүрмеген пациенттерде А, Д, E және К дәрумендерінің деңгейін үнемі бағалап отыру қажет. Дәрумендік қоспалар қажет болған жағдайда ұсынылады. Бүйректің созылмалы ауруы бар, диализбен ем қабылдап жүрмеген және  мультидәрумендік препараттардың құрамына кіруі мүмкін Д дәрумені бар қоспаларды (күн сайын 400 ХБ жуық табиғи Д дәрумені) қабылдап жүрген пациенттерге Севроже препаратын және Д дәруменін бөлек қабылдау ұсынылады. Перитонеалдық диализ алып жүрген пациенттерде майда еритін дәрумендердің және фолий қышқылының деңгейіне қосымша мониторинг жүргізу ұсынылады, өйткені клиникалық зерттеулерде мұндай  пациенттердегі A, Д, E және К дәрумендерінің деңгейлері өлшенген жоқ</w:t>
      </w:r>
      <w:r w:rsidR="00C3576F" w:rsidRPr="00CF3BA2">
        <w:rPr>
          <w:lang w:val="kk-KZ"/>
        </w:rPr>
        <w:t>.</w:t>
      </w:r>
    </w:p>
    <w:p w14:paraId="4072EE1A" w14:textId="5C01686C" w:rsidR="005245B3" w:rsidRPr="00CF3BA2" w:rsidRDefault="00DE3F5B">
      <w:pPr>
        <w:pStyle w:val="a3"/>
        <w:ind w:right="222"/>
        <w:rPr>
          <w:lang w:val="kk-KZ"/>
        </w:rPr>
      </w:pPr>
      <w:r w:rsidRPr="00CF3BA2">
        <w:rPr>
          <w:lang w:val="kk-KZ"/>
        </w:rPr>
        <w:t>Қазіргі таңда Севроже препаратын қолданып ұзақ емдеу кезінде фолаттардың (фолий қышқылының тұздары) тапшылығы дамуы мүмкін екенін жоққа шығару үшін деректер жеткіліксіз. Қосымша фолий қышқылын қабылдамайтын пациенттерде севеламерді қабылдаған кезде фолат деңгейін үнемі бағалау керек</w:t>
      </w:r>
      <w:r w:rsidR="00C3576F" w:rsidRPr="00CF3BA2">
        <w:rPr>
          <w:spacing w:val="-2"/>
          <w:lang w:val="kk-KZ"/>
        </w:rPr>
        <w:t>.</w:t>
      </w:r>
    </w:p>
    <w:p w14:paraId="142523E7" w14:textId="77777777" w:rsidR="005245B3" w:rsidRPr="00CF3BA2" w:rsidRDefault="00C3576F">
      <w:pPr>
        <w:spacing w:before="2" w:line="275" w:lineRule="exact"/>
        <w:ind w:left="219"/>
        <w:rPr>
          <w:i/>
          <w:sz w:val="24"/>
          <w:szCs w:val="24"/>
          <w:lang w:val="kk-KZ"/>
        </w:rPr>
      </w:pPr>
      <w:r w:rsidRPr="00CF3BA2">
        <w:rPr>
          <w:i/>
          <w:spacing w:val="-2"/>
          <w:sz w:val="24"/>
          <w:szCs w:val="24"/>
          <w:lang w:val="kk-KZ"/>
        </w:rPr>
        <w:t>Гипокальциемия/гиперкальциемия</w:t>
      </w:r>
    </w:p>
    <w:p w14:paraId="6FDF2131" w14:textId="6738055B" w:rsidR="005245B3" w:rsidRPr="00CF3BA2" w:rsidRDefault="00DE3F5B">
      <w:pPr>
        <w:pStyle w:val="a3"/>
        <w:ind w:right="226"/>
        <w:rPr>
          <w:lang w:val="kk-KZ"/>
        </w:rPr>
      </w:pPr>
      <w:r w:rsidRPr="00CF3BA2">
        <w:rPr>
          <w:lang w:val="kk-KZ"/>
        </w:rPr>
        <w:t>Бүйректің созылмалы ауруы бар пациенттерде гипокальциемия немесе гиперкальциемия дамуы мүмкін. Севроже құрамында кальций болмайды. Сондықтан қан сарысуындағы кальций деңгейіне үнемі мониторинг жүргізу және қажет болған кезде қоспа түрінде негізгі кальций тағайындау керек</w:t>
      </w:r>
      <w:r w:rsidR="00C3576F" w:rsidRPr="00CF3BA2">
        <w:rPr>
          <w:lang w:val="kk-KZ"/>
        </w:rPr>
        <w:t>.</w:t>
      </w:r>
    </w:p>
    <w:p w14:paraId="5E09518E" w14:textId="2FBB6E3A" w:rsidR="005245B3" w:rsidRPr="00CF3BA2" w:rsidRDefault="00C3576F">
      <w:pPr>
        <w:ind w:left="219"/>
        <w:jc w:val="both"/>
        <w:rPr>
          <w:i/>
          <w:sz w:val="24"/>
          <w:szCs w:val="24"/>
          <w:lang w:val="kk-KZ"/>
        </w:rPr>
      </w:pPr>
      <w:r w:rsidRPr="00CF3BA2">
        <w:rPr>
          <w:i/>
          <w:sz w:val="24"/>
          <w:szCs w:val="24"/>
          <w:lang w:val="kk-KZ"/>
        </w:rPr>
        <w:t>Метаболи</w:t>
      </w:r>
      <w:r w:rsidR="00DE3F5B" w:rsidRPr="00CF3BA2">
        <w:rPr>
          <w:i/>
          <w:sz w:val="24"/>
          <w:szCs w:val="24"/>
          <w:lang w:val="kk-KZ"/>
        </w:rPr>
        <w:t>змдік</w:t>
      </w:r>
      <w:r w:rsidRPr="00CF3BA2">
        <w:rPr>
          <w:i/>
          <w:spacing w:val="-6"/>
          <w:sz w:val="24"/>
          <w:szCs w:val="24"/>
          <w:lang w:val="kk-KZ"/>
        </w:rPr>
        <w:t xml:space="preserve"> </w:t>
      </w:r>
      <w:r w:rsidRPr="00CF3BA2">
        <w:rPr>
          <w:i/>
          <w:spacing w:val="-2"/>
          <w:sz w:val="24"/>
          <w:szCs w:val="24"/>
          <w:lang w:val="kk-KZ"/>
        </w:rPr>
        <w:t>ацидоз</w:t>
      </w:r>
    </w:p>
    <w:p w14:paraId="268A9F10" w14:textId="4048191C" w:rsidR="005245B3" w:rsidRPr="00CF3BA2" w:rsidRDefault="00DE3F5B">
      <w:pPr>
        <w:pStyle w:val="a3"/>
        <w:spacing w:before="2"/>
        <w:ind w:right="221"/>
        <w:rPr>
          <w:lang w:val="kk-KZ"/>
        </w:rPr>
      </w:pPr>
      <w:r w:rsidRPr="00CF3BA2">
        <w:rPr>
          <w:lang w:val="kk-KZ"/>
        </w:rPr>
        <w:t>Бүйректің созылмалы ауруы бар пациенттер метаболизмдік ацидоздың дамуына бейім болады. Сондықтан, тиісті клиникалық іс-тәжірибеге сәйкес, қан сарысуындағы бикарбонаттар деңгейіне мониторинг жүргізу ұсынылады</w:t>
      </w:r>
      <w:r w:rsidR="00C3576F" w:rsidRPr="00CF3BA2">
        <w:rPr>
          <w:lang w:val="kk-KZ"/>
        </w:rPr>
        <w:t>.</w:t>
      </w:r>
    </w:p>
    <w:p w14:paraId="2F04E08F" w14:textId="77777777" w:rsidR="005245B3" w:rsidRPr="00CF3BA2" w:rsidRDefault="00C3576F">
      <w:pPr>
        <w:spacing w:line="275" w:lineRule="exact"/>
        <w:ind w:left="219"/>
        <w:rPr>
          <w:i/>
          <w:sz w:val="24"/>
          <w:szCs w:val="24"/>
          <w:lang w:val="kk-KZ"/>
        </w:rPr>
      </w:pPr>
      <w:r w:rsidRPr="00CF3BA2">
        <w:rPr>
          <w:i/>
          <w:spacing w:val="-2"/>
          <w:sz w:val="24"/>
          <w:szCs w:val="24"/>
          <w:lang w:val="kk-KZ"/>
        </w:rPr>
        <w:t>Перитонит</w:t>
      </w:r>
    </w:p>
    <w:p w14:paraId="525B349A" w14:textId="50589107" w:rsidR="005245B3" w:rsidRPr="00CF3BA2" w:rsidRDefault="00DE3F5B" w:rsidP="00DE3F5B">
      <w:pPr>
        <w:pStyle w:val="a3"/>
        <w:ind w:right="226"/>
        <w:rPr>
          <w:lang w:val="kk-KZ"/>
        </w:rPr>
      </w:pPr>
      <w:r w:rsidRPr="00CF3BA2">
        <w:rPr>
          <w:lang w:val="kk-KZ"/>
        </w:rPr>
        <w:t>Диализбен ем қабылдап жүрген пациенттер диализдік емшараға тән болатын инфекцияның пайда болу қаупіне ұшырайды. Перитонит – перитонеалдық диализде жүрген пациенттердегі белгілі асқыну, және клиникалық зерттеулерде севеламер гидрохлоридімен ем қабылдаған пациенттер тобында перитонит жағдайларының саны бақылау тобындағыға қарағанда көбірек болды. Перитонеалдық диализ қабылдап жүрген пациенттерді, тиісті асептикалық әдістеменің дұрыс қолданылуын қамтамасыз ету және перитониттің кез келген көріністерін немесе симптомдарын анықтау мақсатында мұқият бақылауға алған жөн</w:t>
      </w:r>
      <w:r w:rsidR="00C3576F" w:rsidRPr="00CF3BA2">
        <w:rPr>
          <w:lang w:val="kk-KZ"/>
        </w:rPr>
        <w:t>.</w:t>
      </w:r>
    </w:p>
    <w:p w14:paraId="0FFDE126" w14:textId="1BE0B4AA" w:rsidR="005245B3" w:rsidRPr="00CF3BA2" w:rsidRDefault="00DE3F5B">
      <w:pPr>
        <w:spacing w:before="1"/>
        <w:ind w:left="219"/>
        <w:jc w:val="both"/>
        <w:rPr>
          <w:i/>
          <w:sz w:val="24"/>
          <w:szCs w:val="24"/>
          <w:lang w:val="kk-KZ"/>
        </w:rPr>
      </w:pPr>
      <w:r w:rsidRPr="00CF3BA2">
        <w:rPr>
          <w:i/>
          <w:sz w:val="24"/>
          <w:szCs w:val="24"/>
          <w:lang w:val="kk-KZ"/>
        </w:rPr>
        <w:t>Жұтудың және тыныс алудың қиындауы</w:t>
      </w:r>
    </w:p>
    <w:p w14:paraId="19B3232F" w14:textId="78574137" w:rsidR="005245B3" w:rsidRPr="00CF3BA2" w:rsidRDefault="00DE3F5B">
      <w:pPr>
        <w:pStyle w:val="a3"/>
        <w:spacing w:before="3"/>
        <w:ind w:right="228"/>
        <w:rPr>
          <w:lang w:val="kk-KZ"/>
        </w:rPr>
      </w:pPr>
      <w:r w:rsidRPr="00CF3BA2">
        <w:rPr>
          <w:lang w:val="kk-KZ"/>
        </w:rPr>
        <w:t>Севроже таблеткаларын қабылдаған кезде жұтудың қиындағаны жөнінде жиі емес хабарламалар тіркелді. Бұл жағдайлардың көпшілігі жұту бұзылыстарын немесе өңештегі проблемаларды қоса, қатар жүретін патологиялық жағдайы бар пациенттерге қатысты болды. Қатар жүретін аурулары бар пациенттерде дұрыс жұту қабілетін мұқият мониторингтеу керек. Ауру тарихында жұту қиындығы бар пациенттер үшін Севроже препаратын пероральді суспензияға арналған ұнтақ түрінде қабылдау мүмкіндігін қарастыру керек</w:t>
      </w:r>
      <w:r w:rsidR="00C3576F" w:rsidRPr="00CF3BA2">
        <w:rPr>
          <w:lang w:val="kk-KZ"/>
        </w:rPr>
        <w:t>.</w:t>
      </w:r>
    </w:p>
    <w:p w14:paraId="29D2D32B" w14:textId="77777777" w:rsidR="00DE3F5B" w:rsidRPr="00CF3BA2" w:rsidRDefault="00C3576F" w:rsidP="00DE3F5B">
      <w:pPr>
        <w:spacing w:line="274" w:lineRule="exact"/>
        <w:ind w:left="219"/>
        <w:rPr>
          <w:i/>
          <w:spacing w:val="-2"/>
          <w:sz w:val="24"/>
          <w:szCs w:val="24"/>
          <w:lang w:val="kk-KZ"/>
        </w:rPr>
      </w:pPr>
      <w:r w:rsidRPr="00CF3BA2">
        <w:rPr>
          <w:i/>
          <w:spacing w:val="-2"/>
          <w:sz w:val="24"/>
          <w:szCs w:val="24"/>
          <w:lang w:val="kk-KZ"/>
        </w:rPr>
        <w:t>Гипотиреоз</w:t>
      </w:r>
    </w:p>
    <w:p w14:paraId="6ACE9617" w14:textId="3A6A7849" w:rsidR="005245B3" w:rsidRPr="00CF3BA2" w:rsidRDefault="003D0573" w:rsidP="003D0573">
      <w:pPr>
        <w:spacing w:line="274" w:lineRule="exact"/>
        <w:ind w:left="219" w:right="174"/>
        <w:jc w:val="both"/>
        <w:rPr>
          <w:sz w:val="24"/>
          <w:szCs w:val="24"/>
          <w:lang w:val="kk-KZ"/>
        </w:rPr>
      </w:pPr>
      <w:r w:rsidRPr="00CF3BA2">
        <w:rPr>
          <w:sz w:val="24"/>
          <w:szCs w:val="24"/>
          <w:lang w:val="kk-KZ"/>
        </w:rPr>
        <w:t xml:space="preserve">Севроже препаратын және левотироксинді бірге қолданғанда гипотиреозы бар пациенттерге қатаң мониторинг жүргізу ұсынылған </w:t>
      </w:r>
      <w:r w:rsidR="00C3576F" w:rsidRPr="00CF3BA2">
        <w:rPr>
          <w:sz w:val="24"/>
          <w:szCs w:val="24"/>
          <w:lang w:val="kk-KZ"/>
        </w:rPr>
        <w:t>(4.5</w:t>
      </w:r>
      <w:r w:rsidRPr="00CF3BA2">
        <w:rPr>
          <w:sz w:val="24"/>
          <w:szCs w:val="24"/>
          <w:lang w:val="kk-KZ"/>
        </w:rPr>
        <w:t xml:space="preserve"> бөлімін қаарңыз</w:t>
      </w:r>
      <w:r w:rsidR="00C3576F" w:rsidRPr="00CF3BA2">
        <w:rPr>
          <w:sz w:val="24"/>
          <w:szCs w:val="24"/>
          <w:lang w:val="kk-KZ"/>
        </w:rPr>
        <w:t>).</w:t>
      </w:r>
    </w:p>
    <w:p w14:paraId="1260E971" w14:textId="77777777" w:rsidR="005245B3" w:rsidRPr="00CF3BA2" w:rsidRDefault="00C3576F">
      <w:pPr>
        <w:spacing w:before="4" w:line="275" w:lineRule="exact"/>
        <w:ind w:left="219"/>
        <w:rPr>
          <w:i/>
          <w:sz w:val="24"/>
          <w:szCs w:val="24"/>
          <w:lang w:val="kk-KZ"/>
        </w:rPr>
      </w:pPr>
      <w:r w:rsidRPr="00CF3BA2">
        <w:rPr>
          <w:i/>
          <w:spacing w:val="-2"/>
          <w:sz w:val="24"/>
          <w:szCs w:val="24"/>
          <w:lang w:val="kk-KZ"/>
        </w:rPr>
        <w:t>Гиперпаратиреоз</w:t>
      </w:r>
    </w:p>
    <w:p w14:paraId="2AE85BE9" w14:textId="29956123" w:rsidR="005245B3" w:rsidRPr="00CF3BA2" w:rsidRDefault="007275D3">
      <w:pPr>
        <w:pStyle w:val="a3"/>
        <w:ind w:right="225"/>
        <w:rPr>
          <w:lang w:val="kk-KZ"/>
        </w:rPr>
      </w:pPr>
      <w:r w:rsidRPr="00CF3BA2">
        <w:rPr>
          <w:lang w:val="kk-KZ"/>
        </w:rPr>
        <w:lastRenderedPageBreak/>
        <w:t>Севроже препараты гиперпаратиреозды бақылау үшін қолданылмайды. Салдарлы гиперпаратиреозы бар пациенттерде Севроже препаратын кальций қоспалары, 1,25-дигидроксихолекальциферол (1,25-дигидрокси Д</w:t>
      </w:r>
      <w:r w:rsidRPr="00CF3BA2">
        <w:rPr>
          <w:vertAlign w:val="subscript"/>
          <w:lang w:val="kk-KZ"/>
        </w:rPr>
        <w:t>3</w:t>
      </w:r>
      <w:r w:rsidR="00EF77E1">
        <w:rPr>
          <w:vertAlign w:val="subscript"/>
          <w:lang w:val="kk-KZ"/>
        </w:rPr>
        <w:t xml:space="preserve"> </w:t>
      </w:r>
      <w:r w:rsidR="00EF77E1" w:rsidRPr="00CF3BA2">
        <w:rPr>
          <w:lang w:val="kk-KZ"/>
        </w:rPr>
        <w:t>дәрумен</w:t>
      </w:r>
      <w:r w:rsidR="00EF77E1">
        <w:rPr>
          <w:lang w:val="kk-KZ"/>
        </w:rPr>
        <w:t>і</w:t>
      </w:r>
      <w:r w:rsidRPr="00CF3BA2">
        <w:rPr>
          <w:lang w:val="kk-KZ"/>
        </w:rPr>
        <w:t>) немесе интактілі паратиреоидты гормон (иПТГ) деңгейін төмендету мақсатында оның аналогтарының бірі қамтылуы мүмкін біріктірілген ем құрамында қолдану керек</w:t>
      </w:r>
      <w:r w:rsidR="00C3576F" w:rsidRPr="00CF3BA2">
        <w:rPr>
          <w:lang w:val="kk-KZ"/>
        </w:rPr>
        <w:t>.</w:t>
      </w:r>
    </w:p>
    <w:p w14:paraId="2F1AB48A" w14:textId="1DD206BB" w:rsidR="005245B3" w:rsidRPr="00CF3BA2" w:rsidRDefault="007275D3">
      <w:pPr>
        <w:spacing w:line="275" w:lineRule="exact"/>
        <w:ind w:left="219"/>
        <w:jc w:val="both"/>
        <w:rPr>
          <w:i/>
          <w:sz w:val="24"/>
          <w:szCs w:val="24"/>
          <w:lang w:val="kk-KZ"/>
        </w:rPr>
      </w:pPr>
      <w:r w:rsidRPr="00CF3BA2">
        <w:rPr>
          <w:i/>
          <w:sz w:val="24"/>
          <w:szCs w:val="24"/>
          <w:lang w:val="kk-KZ"/>
        </w:rPr>
        <w:t>Асқазан-ішек жолының қабыну аурулары</w:t>
      </w:r>
    </w:p>
    <w:p w14:paraId="2E8CE322" w14:textId="72875E05" w:rsidR="005245B3" w:rsidRPr="00CF3BA2" w:rsidRDefault="007275D3">
      <w:pPr>
        <w:pStyle w:val="a3"/>
        <w:ind w:right="223"/>
        <w:rPr>
          <w:lang w:val="kk-KZ"/>
        </w:rPr>
      </w:pPr>
      <w:r w:rsidRPr="00CF3BA2">
        <w:rPr>
          <w:lang w:val="kk-KZ"/>
        </w:rPr>
        <w:t xml:space="preserve">Севеламердің кристалдары болуымен байланысты асқазан-ішек жолдарының түрлі аумақтарының ауыр қабыну аурулары жағдайлары (қан кетулер, тесілу, ойық жаралар түзілуі, некроз, колит және нәжіс массалары сияқты күрделі асқынуларды қоса) байқалды (4.8 бөлімін қараңыз). </w:t>
      </w:r>
      <w:r w:rsidRPr="00CF3BA2">
        <w:rPr>
          <w:u w:val="single"/>
          <w:lang w:val="kk-KZ"/>
        </w:rPr>
        <w:t>Қабыну аурулары препаратты тоқтатқаннан кейін тыйылды</w:t>
      </w:r>
      <w:r w:rsidRPr="00CF3BA2">
        <w:rPr>
          <w:lang w:val="kk-KZ"/>
        </w:rPr>
        <w:t>. Асқазан-ішектің күрделі ауруларының симптомдары пайда болған пациенттерде севеламер карбонатымен емдеуді қайта қарастыру керек</w:t>
      </w:r>
      <w:r w:rsidR="00C3576F" w:rsidRPr="00CF3BA2">
        <w:rPr>
          <w:lang w:val="kk-KZ"/>
        </w:rPr>
        <w:t>.</w:t>
      </w:r>
    </w:p>
    <w:p w14:paraId="78521E87" w14:textId="77777777" w:rsidR="007275D3" w:rsidRPr="00CF3BA2" w:rsidRDefault="007275D3" w:rsidP="007275D3">
      <w:pPr>
        <w:pStyle w:val="a3"/>
        <w:rPr>
          <w:i/>
          <w:iCs/>
          <w:u w:val="single"/>
          <w:lang w:val="kk-KZ"/>
        </w:rPr>
      </w:pPr>
      <w:r w:rsidRPr="00CF3BA2">
        <w:rPr>
          <w:i/>
          <w:iCs/>
          <w:u w:val="single"/>
          <w:lang w:val="kk-KZ"/>
        </w:rPr>
        <w:t>Натрий мөлшеріне байланысты ақпарат</w:t>
      </w:r>
    </w:p>
    <w:p w14:paraId="0402D949" w14:textId="0F413F7F" w:rsidR="005245B3" w:rsidRPr="00CF3BA2" w:rsidRDefault="007275D3" w:rsidP="007275D3">
      <w:pPr>
        <w:pStyle w:val="a3"/>
        <w:ind w:right="223"/>
        <w:rPr>
          <w:lang w:val="kk-KZ"/>
        </w:rPr>
      </w:pPr>
      <w:r w:rsidRPr="00CF3BA2">
        <w:rPr>
          <w:lang w:val="kk-KZ"/>
        </w:rPr>
        <w:t>Бұл дәрілік препараттың құрамында таблеткада 1 ммоль-ден аз (23 мг) натрий бар, яғни препарат натрийден бос деп саналады</w:t>
      </w:r>
      <w:r w:rsidR="00C3576F" w:rsidRPr="00CF3BA2">
        <w:rPr>
          <w:lang w:val="kk-KZ"/>
        </w:rPr>
        <w:t>.</w:t>
      </w:r>
    </w:p>
    <w:p w14:paraId="7C56679C" w14:textId="77777777" w:rsidR="005245B3" w:rsidRPr="00CF3BA2" w:rsidRDefault="005245B3">
      <w:pPr>
        <w:pStyle w:val="a3"/>
        <w:spacing w:before="3"/>
        <w:ind w:left="0"/>
        <w:jc w:val="left"/>
        <w:rPr>
          <w:lang w:val="kk-KZ"/>
        </w:rPr>
      </w:pPr>
    </w:p>
    <w:p w14:paraId="19D1BE51" w14:textId="3B55A2AE" w:rsidR="005245B3" w:rsidRPr="00CF3BA2" w:rsidRDefault="007275D3">
      <w:pPr>
        <w:pStyle w:val="2"/>
        <w:numPr>
          <w:ilvl w:val="1"/>
          <w:numId w:val="3"/>
        </w:numPr>
        <w:tabs>
          <w:tab w:val="left" w:pos="677"/>
        </w:tabs>
        <w:spacing w:line="237" w:lineRule="auto"/>
        <w:ind w:left="219" w:right="228" w:firstLine="0"/>
        <w:rPr>
          <w:lang w:val="kk-KZ"/>
        </w:rPr>
      </w:pPr>
      <w:r w:rsidRPr="00CF3BA2">
        <w:rPr>
          <w:lang w:val="kk-KZ"/>
        </w:rPr>
        <w:t>Басқа дәрілік препараттармен өзара әрекеттесуі және өзара әрекеттесудің басқа түрлері</w:t>
      </w:r>
    </w:p>
    <w:p w14:paraId="1E7ED99B" w14:textId="77777777" w:rsidR="005245B3" w:rsidRPr="00CF3BA2" w:rsidRDefault="00C3576F">
      <w:pPr>
        <w:pStyle w:val="a3"/>
        <w:spacing w:line="274" w:lineRule="exact"/>
        <w:jc w:val="left"/>
        <w:rPr>
          <w:lang w:val="kk-KZ"/>
        </w:rPr>
      </w:pPr>
      <w:r w:rsidRPr="00CF3BA2">
        <w:rPr>
          <w:spacing w:val="-2"/>
          <w:u w:val="single"/>
          <w:lang w:val="kk-KZ"/>
        </w:rPr>
        <w:t>Диализ</w:t>
      </w:r>
    </w:p>
    <w:p w14:paraId="036EE149" w14:textId="5D0EE941" w:rsidR="005245B3" w:rsidRPr="00CF3BA2" w:rsidRDefault="007275D3">
      <w:pPr>
        <w:pStyle w:val="a3"/>
        <w:spacing w:line="242" w:lineRule="auto"/>
        <w:jc w:val="left"/>
        <w:rPr>
          <w:lang w:val="kk-KZ"/>
        </w:rPr>
      </w:pPr>
      <w:r w:rsidRPr="00CF3BA2">
        <w:rPr>
          <w:lang w:val="kk-KZ"/>
        </w:rPr>
        <w:t xml:space="preserve">Диализ </w:t>
      </w:r>
      <w:r w:rsidR="00EF77E1">
        <w:rPr>
          <w:lang w:val="kk-KZ"/>
        </w:rPr>
        <w:t>жүргізілетін</w:t>
      </w:r>
      <w:r w:rsidRPr="00CF3BA2">
        <w:rPr>
          <w:lang w:val="kk-KZ"/>
        </w:rPr>
        <w:t xml:space="preserve"> пациенттерде басқа дәрілік заттармен өзара әрекеттесулерге зерттеу жүргізілмеген</w:t>
      </w:r>
      <w:r w:rsidR="00C3576F" w:rsidRPr="00CF3BA2">
        <w:rPr>
          <w:lang w:val="kk-KZ"/>
        </w:rPr>
        <w:t>.</w:t>
      </w:r>
    </w:p>
    <w:p w14:paraId="4FC5560E" w14:textId="77777777" w:rsidR="005245B3" w:rsidRPr="00CF3BA2" w:rsidRDefault="00C3576F">
      <w:pPr>
        <w:pStyle w:val="a3"/>
        <w:spacing w:line="271" w:lineRule="exact"/>
        <w:jc w:val="left"/>
        <w:rPr>
          <w:lang w:val="kk-KZ"/>
        </w:rPr>
      </w:pPr>
      <w:r w:rsidRPr="00CF3BA2">
        <w:rPr>
          <w:spacing w:val="-2"/>
          <w:u w:val="single"/>
          <w:lang w:val="kk-KZ"/>
        </w:rPr>
        <w:t>Ципрофлоксацин</w:t>
      </w:r>
    </w:p>
    <w:p w14:paraId="5BE52149" w14:textId="77777777" w:rsidR="007275D3" w:rsidRPr="00CF3BA2" w:rsidRDefault="007275D3" w:rsidP="007275D3">
      <w:pPr>
        <w:pStyle w:val="a3"/>
        <w:ind w:right="227"/>
        <w:rPr>
          <w:lang w:val="kk-KZ"/>
        </w:rPr>
      </w:pPr>
      <w:r w:rsidRPr="00CF3BA2">
        <w:rPr>
          <w:lang w:val="kk-KZ"/>
        </w:rPr>
        <w:t>Дәрілік препараттардың өзара әрекеттесуін еріктілерде зерттегенде молекуласында севеламер карбонаты сияқты белсенді ингредиенті бар севеламер гидрохлориді ципрофлоксациннің, оны бір мезгілде бір реттік қабылдағанда, биожетімділігін шамамен 50%-ға азайтты. Сондықтан, Севроже препаратын ципрофлоксацинмен бір мезгілде қабылдамаған жөн.</w:t>
      </w:r>
    </w:p>
    <w:p w14:paraId="003AD7D9" w14:textId="77777777" w:rsidR="007275D3" w:rsidRPr="00CF3BA2" w:rsidRDefault="007275D3" w:rsidP="007275D3">
      <w:pPr>
        <w:pStyle w:val="a3"/>
        <w:ind w:right="227"/>
        <w:rPr>
          <w:u w:val="single"/>
          <w:lang w:val="kk-KZ"/>
        </w:rPr>
      </w:pPr>
      <w:r w:rsidRPr="00CF3BA2">
        <w:rPr>
          <w:u w:val="single"/>
          <w:lang w:val="kk-KZ"/>
        </w:rPr>
        <w:t>Трансплантациядан кейінгі пациенттерде циклоспорин, микофенолат мофетилі және такролимус</w:t>
      </w:r>
    </w:p>
    <w:p w14:paraId="2582940E" w14:textId="6C7749A4" w:rsidR="005245B3" w:rsidRPr="00CF3BA2" w:rsidRDefault="007275D3" w:rsidP="007275D3">
      <w:pPr>
        <w:pStyle w:val="a3"/>
        <w:ind w:right="227"/>
        <w:rPr>
          <w:lang w:val="kk-KZ"/>
        </w:rPr>
      </w:pPr>
      <w:r w:rsidRPr="00CF3BA2">
        <w:rPr>
          <w:lang w:val="kk-KZ"/>
        </w:rPr>
        <w:t>Трансплантациядан кейін пациенттерде севеламер гидрохлоридімен бірге қабылдағанда циклоспорин, микофенолат мофетилі және такролимус деңгейлерінің қандай да бір клиникалық зардаптарсыз (мысалы, трансплантаттың ажырауы) төмендегені байқалды. Өзара әрекеттесудің ықтималдығын жоққа шығаруға болмайды, осыған байланысты аталған біріктірілімді қолдану кезінде, сондай-ақ емдеуді тоқтатқаннан кейін де қанда циклоспорин, микофенолат мофетилі және такролимус концентрацияларына мұқият мониторинг жасау қажет</w:t>
      </w:r>
      <w:r w:rsidR="00C3576F" w:rsidRPr="00CF3BA2">
        <w:rPr>
          <w:lang w:val="kk-KZ"/>
        </w:rPr>
        <w:t>.</w:t>
      </w:r>
    </w:p>
    <w:p w14:paraId="6A244401" w14:textId="77777777" w:rsidR="005245B3" w:rsidRPr="00CF3BA2" w:rsidRDefault="00C3576F">
      <w:pPr>
        <w:pStyle w:val="a3"/>
        <w:spacing w:before="66"/>
        <w:jc w:val="left"/>
        <w:rPr>
          <w:lang w:val="kk-KZ"/>
        </w:rPr>
      </w:pPr>
      <w:r w:rsidRPr="00CF3BA2">
        <w:rPr>
          <w:spacing w:val="-2"/>
          <w:u w:val="single"/>
          <w:lang w:val="kk-KZ"/>
        </w:rPr>
        <w:t>Левотироксин</w:t>
      </w:r>
    </w:p>
    <w:p w14:paraId="0C51DCBE" w14:textId="75AD697D" w:rsidR="005245B3" w:rsidRPr="00CF3BA2" w:rsidRDefault="007275D3">
      <w:pPr>
        <w:pStyle w:val="a3"/>
        <w:spacing w:before="3"/>
        <w:ind w:right="236"/>
        <w:rPr>
          <w:lang w:val="kk-KZ"/>
        </w:rPr>
      </w:pPr>
      <w:r w:rsidRPr="00CF3BA2">
        <w:rPr>
          <w:lang w:val="kk-KZ"/>
        </w:rPr>
        <w:t>Севеламер гидрохлоридін (құрамында севеламер карбонаты сияқты белсенді ингредиенті бар) және левотироксинді бір мезгілде қабылдап жүрген пациенттерде гипотиреоз жағдайлары жөнінде өте сирек мәлімделді. Сондықтан севеламер карбонатын левотироксинмен бірге қабылдап жүрген пациенттерде ТТГ деңгейін мұқият бақылау ұсынылады</w:t>
      </w:r>
      <w:r w:rsidR="00C3576F" w:rsidRPr="00CF3BA2">
        <w:rPr>
          <w:lang w:val="kk-KZ"/>
        </w:rPr>
        <w:t>.</w:t>
      </w:r>
    </w:p>
    <w:p w14:paraId="3B8E1A99" w14:textId="3B39B6EE" w:rsidR="005245B3" w:rsidRPr="00CF3BA2" w:rsidRDefault="007275D3">
      <w:pPr>
        <w:pStyle w:val="a3"/>
        <w:spacing w:line="274" w:lineRule="exact"/>
        <w:jc w:val="left"/>
        <w:rPr>
          <w:lang w:val="kk-KZ"/>
        </w:rPr>
      </w:pPr>
      <w:r w:rsidRPr="00CF3BA2">
        <w:rPr>
          <w:u w:val="single"/>
          <w:lang w:val="kk-KZ"/>
        </w:rPr>
        <w:t>Аритмияға қарсы және құрысуға қарсы дәрілер</w:t>
      </w:r>
    </w:p>
    <w:p w14:paraId="559F348D" w14:textId="3811B6CB" w:rsidR="005245B3" w:rsidRPr="00CF3BA2" w:rsidRDefault="007275D3">
      <w:pPr>
        <w:pStyle w:val="a3"/>
        <w:spacing w:before="2"/>
        <w:ind w:right="226"/>
        <w:rPr>
          <w:lang w:val="kk-KZ"/>
        </w:rPr>
      </w:pPr>
      <w:r w:rsidRPr="00CF3BA2">
        <w:rPr>
          <w:lang w:val="kk-KZ"/>
        </w:rPr>
        <w:t>Аритмияны бақылауға арналған аритмияға қарсы дәрілерді және құрысу ұстамаларын бақылауға арналған құрысуға қарсы дәрілерді қабылдайтын пациенттер клиникалық зерттеулерден шығарылды. Осы себепті сіңірілу кезінде төмендеу мүмкіндігі жоққа шығарылмайды. Аритмияға қарсы дәрілерді қабылдау Севроже препаратын қабылдаудан кемінде 1 сағат бұрын немесе 3 сағаттан кейін болуы тиіс. Қандағы деңгейіне мониторинг қажет</w:t>
      </w:r>
      <w:r w:rsidR="00C3576F" w:rsidRPr="00CF3BA2">
        <w:rPr>
          <w:lang w:val="kk-KZ"/>
        </w:rPr>
        <w:t>.</w:t>
      </w:r>
    </w:p>
    <w:p w14:paraId="57AFDE50" w14:textId="35A58CC8" w:rsidR="005245B3" w:rsidRPr="00CF3BA2" w:rsidRDefault="007275D3">
      <w:pPr>
        <w:pStyle w:val="a3"/>
        <w:spacing w:before="1" w:line="275" w:lineRule="exact"/>
        <w:jc w:val="left"/>
        <w:rPr>
          <w:lang w:val="kk-KZ"/>
        </w:rPr>
      </w:pPr>
      <w:r w:rsidRPr="00CF3BA2">
        <w:rPr>
          <w:u w:val="single"/>
          <w:lang w:val="kk-KZ"/>
        </w:rPr>
        <w:t>Протонды помпа тежегіштері</w:t>
      </w:r>
    </w:p>
    <w:p w14:paraId="10F07BC8" w14:textId="4E3A3604" w:rsidR="005245B3" w:rsidRPr="00CF3BA2" w:rsidRDefault="007275D3">
      <w:pPr>
        <w:pStyle w:val="a3"/>
        <w:ind w:right="228"/>
        <w:rPr>
          <w:lang w:val="kk-KZ"/>
        </w:rPr>
      </w:pPr>
      <w:r w:rsidRPr="00CF3BA2">
        <w:rPr>
          <w:lang w:val="kk-KZ"/>
        </w:rPr>
        <w:t xml:space="preserve">Тіркеуден кейінгі қолдану кезеңінде протонды помпа тежегіштерін севеламер карбонатымен бірге қабылдаған пациенттерде фосфаттардың жоғары деңгейі өте сирек жағдайларда байқалған. Севроже препаратымен бір мезгілде ем қабылдап жүрген пациенттерге ППТ тағайындау кезінде сақ болған жөн. Сарысудағы фосфат деңгейін </w:t>
      </w:r>
      <w:r w:rsidRPr="00CF3BA2">
        <w:rPr>
          <w:lang w:val="kk-KZ"/>
        </w:rPr>
        <w:lastRenderedPageBreak/>
        <w:t>бақылау және соған сәйкес Севроже дозасын түзету керек</w:t>
      </w:r>
      <w:r w:rsidR="00C3576F" w:rsidRPr="00CF3BA2">
        <w:rPr>
          <w:lang w:val="kk-KZ"/>
        </w:rPr>
        <w:t>.</w:t>
      </w:r>
    </w:p>
    <w:p w14:paraId="74C95D87" w14:textId="3DB12A0B" w:rsidR="005245B3" w:rsidRPr="00CF3BA2" w:rsidRDefault="00C3576F">
      <w:pPr>
        <w:pStyle w:val="a3"/>
        <w:jc w:val="left"/>
        <w:rPr>
          <w:lang w:val="kk-KZ"/>
        </w:rPr>
      </w:pPr>
      <w:r w:rsidRPr="00CF3BA2">
        <w:rPr>
          <w:spacing w:val="-2"/>
          <w:u w:val="single"/>
          <w:lang w:val="kk-KZ"/>
        </w:rPr>
        <w:t>Био</w:t>
      </w:r>
      <w:r w:rsidR="007275D3" w:rsidRPr="00CF3BA2">
        <w:rPr>
          <w:spacing w:val="-2"/>
          <w:u w:val="single"/>
          <w:lang w:val="kk-KZ"/>
        </w:rPr>
        <w:t>жетімділігі</w:t>
      </w:r>
    </w:p>
    <w:p w14:paraId="6C15F4E2" w14:textId="0584ED7C" w:rsidR="005245B3" w:rsidRPr="00CF3BA2" w:rsidRDefault="007275D3">
      <w:pPr>
        <w:pStyle w:val="a3"/>
        <w:spacing w:before="2"/>
        <w:ind w:right="232"/>
        <w:rPr>
          <w:lang w:val="kk-KZ"/>
        </w:rPr>
      </w:pPr>
      <w:r w:rsidRPr="00CF3BA2">
        <w:rPr>
          <w:lang w:val="kk-KZ"/>
        </w:rPr>
        <w:t>Севроже препараты АІЖ сіңбейді және басқа дәрілік заттардың биожетімділігіне ықпал етуі мүмкін. Севроже препаратын олардың биожетімділігінің төмендеуі тиімділігіне және қауіпсіздігіне қатысты клиникалық маңызға ие болуы мүмкін басқа дәрілік препараттармен бір мезгілде қолданған кезде, оларды Севроже препаратын қабылдаудан бір сағат бұрын немесе қабылдағаннан кейін үш сағаттан соң қабылдау керек немесе дәрігер олардың қандағы деңгейіне мониториг жасау қажеттілігін қарастырғаны жөн</w:t>
      </w:r>
      <w:r w:rsidR="00C3576F" w:rsidRPr="00CF3BA2">
        <w:rPr>
          <w:lang w:val="kk-KZ"/>
        </w:rPr>
        <w:t>.</w:t>
      </w:r>
    </w:p>
    <w:p w14:paraId="21607139" w14:textId="48DE6963" w:rsidR="005245B3" w:rsidRPr="00CF3BA2" w:rsidRDefault="00C3576F">
      <w:pPr>
        <w:pStyle w:val="a3"/>
        <w:spacing w:line="275" w:lineRule="exact"/>
        <w:jc w:val="left"/>
        <w:rPr>
          <w:lang w:val="kk-KZ"/>
        </w:rPr>
      </w:pPr>
      <w:r w:rsidRPr="00CF3BA2">
        <w:rPr>
          <w:u w:val="single"/>
          <w:lang w:val="kk-KZ"/>
        </w:rPr>
        <w:t>Дигоксин,</w:t>
      </w:r>
      <w:r w:rsidRPr="00CF3BA2">
        <w:rPr>
          <w:spacing w:val="-4"/>
          <w:u w:val="single"/>
          <w:lang w:val="kk-KZ"/>
        </w:rPr>
        <w:t xml:space="preserve"> </w:t>
      </w:r>
      <w:r w:rsidRPr="00CF3BA2">
        <w:rPr>
          <w:u w:val="single"/>
          <w:lang w:val="kk-KZ"/>
        </w:rPr>
        <w:t>варфарин,</w:t>
      </w:r>
      <w:r w:rsidRPr="00CF3BA2">
        <w:rPr>
          <w:spacing w:val="-4"/>
          <w:u w:val="single"/>
          <w:lang w:val="kk-KZ"/>
        </w:rPr>
        <w:t xml:space="preserve"> </w:t>
      </w:r>
      <w:r w:rsidRPr="00CF3BA2">
        <w:rPr>
          <w:u w:val="single"/>
          <w:lang w:val="kk-KZ"/>
        </w:rPr>
        <w:t>эналаприл</w:t>
      </w:r>
      <w:r w:rsidRPr="00CF3BA2">
        <w:rPr>
          <w:spacing w:val="-6"/>
          <w:u w:val="single"/>
          <w:lang w:val="kk-KZ"/>
        </w:rPr>
        <w:t xml:space="preserve"> </w:t>
      </w:r>
      <w:r w:rsidR="007275D3" w:rsidRPr="00CF3BA2">
        <w:rPr>
          <w:u w:val="single"/>
          <w:lang w:val="kk-KZ"/>
        </w:rPr>
        <w:t>немесе</w:t>
      </w:r>
      <w:r w:rsidRPr="00CF3BA2">
        <w:rPr>
          <w:spacing w:val="-4"/>
          <w:u w:val="single"/>
          <w:lang w:val="kk-KZ"/>
        </w:rPr>
        <w:t xml:space="preserve"> </w:t>
      </w:r>
      <w:r w:rsidRPr="00CF3BA2">
        <w:rPr>
          <w:spacing w:val="-2"/>
          <w:u w:val="single"/>
          <w:lang w:val="kk-KZ"/>
        </w:rPr>
        <w:t>метопролол</w:t>
      </w:r>
    </w:p>
    <w:p w14:paraId="0BE45993" w14:textId="46715C9A" w:rsidR="005245B3" w:rsidRPr="00CF3BA2" w:rsidRDefault="007275D3">
      <w:pPr>
        <w:pStyle w:val="a3"/>
        <w:ind w:right="233"/>
        <w:rPr>
          <w:lang w:val="kk-KZ"/>
        </w:rPr>
      </w:pPr>
      <w:r w:rsidRPr="00CF3BA2">
        <w:rPr>
          <w:lang w:val="kk-KZ"/>
        </w:rPr>
        <w:t>Дені сау еріктілерде басқа дәрілік заттармен өзара әрекеттесуді зерттеу кезінде севеламер гидрохлориді (құрамында севеламер карбонаты сияқты белсенді ингредиент бар) дигоксиннің, варфариннің, эналаприлдің немесе метопрололдың биожетімділігіне ықпал еткен жоқ</w:t>
      </w:r>
      <w:r w:rsidR="00C3576F" w:rsidRPr="00CF3BA2">
        <w:rPr>
          <w:lang w:val="kk-KZ"/>
        </w:rPr>
        <w:t>.</w:t>
      </w:r>
    </w:p>
    <w:p w14:paraId="524D02EA" w14:textId="77777777" w:rsidR="005245B3" w:rsidRPr="00CF3BA2" w:rsidRDefault="005245B3">
      <w:pPr>
        <w:pStyle w:val="a3"/>
        <w:spacing w:before="7"/>
        <w:ind w:left="0"/>
        <w:jc w:val="left"/>
        <w:rPr>
          <w:lang w:val="kk-KZ"/>
        </w:rPr>
      </w:pPr>
    </w:p>
    <w:p w14:paraId="6F75B2C8" w14:textId="24C9A048" w:rsidR="005245B3" w:rsidRPr="00CF3BA2" w:rsidRDefault="007275D3">
      <w:pPr>
        <w:pStyle w:val="2"/>
        <w:numPr>
          <w:ilvl w:val="1"/>
          <w:numId w:val="3"/>
        </w:numPr>
        <w:tabs>
          <w:tab w:val="left" w:pos="580"/>
        </w:tabs>
        <w:spacing w:line="272" w:lineRule="exact"/>
        <w:ind w:left="579" w:hanging="361"/>
        <w:rPr>
          <w:lang w:val="kk-KZ"/>
        </w:rPr>
      </w:pPr>
      <w:r w:rsidRPr="00CF3BA2">
        <w:rPr>
          <w:lang w:val="kk-KZ"/>
        </w:rPr>
        <w:t xml:space="preserve"> Фертильділік, жүктілік және лактация</w:t>
      </w:r>
    </w:p>
    <w:p w14:paraId="11589274" w14:textId="6648728E" w:rsidR="005245B3" w:rsidRPr="00CF3BA2" w:rsidRDefault="007275D3">
      <w:pPr>
        <w:spacing w:line="272" w:lineRule="exact"/>
        <w:ind w:left="219"/>
        <w:rPr>
          <w:i/>
          <w:sz w:val="24"/>
          <w:szCs w:val="24"/>
          <w:lang w:val="kk-KZ"/>
        </w:rPr>
      </w:pPr>
      <w:r w:rsidRPr="00CF3BA2">
        <w:rPr>
          <w:i/>
          <w:spacing w:val="-2"/>
          <w:sz w:val="24"/>
          <w:szCs w:val="24"/>
          <w:lang w:val="kk-KZ"/>
        </w:rPr>
        <w:t>Жүктілік</w:t>
      </w:r>
    </w:p>
    <w:p w14:paraId="3FAD1743" w14:textId="353FD087" w:rsidR="00F448F0" w:rsidRPr="00CF3BA2" w:rsidRDefault="00F448F0" w:rsidP="00F448F0">
      <w:pPr>
        <w:pStyle w:val="a3"/>
        <w:spacing w:before="3"/>
        <w:ind w:right="226"/>
        <w:rPr>
          <w:lang w:val="kk-KZ"/>
        </w:rPr>
      </w:pPr>
      <w:r w:rsidRPr="00CF3BA2">
        <w:rPr>
          <w:lang w:val="kk-KZ"/>
        </w:rPr>
        <w:t xml:space="preserve">Жүкті әйелдерде севеламерді қолдану туралы деректер жоқ немесе жеткіліксіз. Жануарларға жүргізілген зерттеулер егеуқұйрықтарға севеламерді жоғары дозада енгізген кезде </w:t>
      </w:r>
      <w:r w:rsidR="00180541">
        <w:rPr>
          <w:lang w:val="kk-KZ"/>
        </w:rPr>
        <w:t>тұқым</w:t>
      </w:r>
      <w:r w:rsidRPr="00CF3BA2">
        <w:rPr>
          <w:lang w:val="kk-KZ"/>
        </w:rPr>
        <w:t xml:space="preserve"> өрбітуге аздаған уыттылықты көрсетті (5.3 бөлімін қараңыз). Сондай-ақ, севеламер кейбір дәрумендердің, соның ішінде фолий қышқылының сіңуін төмендететіні көрсетілген (4.4 және 5.3 бөлімдерін қараңыз). Адам үшін ықтимал қаупі белгісіз.</w:t>
      </w:r>
    </w:p>
    <w:p w14:paraId="75AD1263" w14:textId="0BA76916" w:rsidR="00F448F0" w:rsidRPr="00CF3BA2" w:rsidRDefault="00F448F0" w:rsidP="00F448F0">
      <w:pPr>
        <w:pStyle w:val="a3"/>
        <w:spacing w:before="3"/>
        <w:ind w:right="226"/>
        <w:rPr>
          <w:lang w:val="kk-KZ"/>
        </w:rPr>
      </w:pPr>
      <w:r w:rsidRPr="00CF3BA2">
        <w:rPr>
          <w:lang w:val="kk-KZ"/>
        </w:rPr>
        <w:t>Севроже препаратын жүкті әйелдерге тек аса қажет болған жағдайда және анасы үшін де, шарана үшін де қауіп/пайда арақатынасын мұқият бағалағаннан кейін ғана тағайындау керек.</w:t>
      </w:r>
    </w:p>
    <w:p w14:paraId="252FAD7E" w14:textId="6DA864A0" w:rsidR="005245B3" w:rsidRPr="00CF3BA2" w:rsidRDefault="00F448F0">
      <w:pPr>
        <w:spacing w:line="274" w:lineRule="exact"/>
        <w:ind w:left="219"/>
        <w:jc w:val="both"/>
        <w:rPr>
          <w:i/>
          <w:sz w:val="24"/>
          <w:szCs w:val="24"/>
          <w:lang w:val="kk-KZ"/>
        </w:rPr>
      </w:pPr>
      <w:r w:rsidRPr="00CF3BA2">
        <w:rPr>
          <w:i/>
          <w:sz w:val="24"/>
          <w:szCs w:val="24"/>
          <w:lang w:val="kk-KZ"/>
        </w:rPr>
        <w:t>Бала емізу</w:t>
      </w:r>
    </w:p>
    <w:p w14:paraId="311F8A80" w14:textId="24ACC6C4" w:rsidR="005245B3" w:rsidRPr="00CF3BA2" w:rsidRDefault="00F448F0">
      <w:pPr>
        <w:pStyle w:val="a3"/>
        <w:spacing w:before="3"/>
        <w:ind w:right="224"/>
        <w:rPr>
          <w:lang w:val="kk-KZ"/>
        </w:rPr>
      </w:pPr>
      <w:r w:rsidRPr="00CF3BA2">
        <w:rPr>
          <w:lang w:val="kk-KZ"/>
        </w:rPr>
        <w:t>Емшек сүтімен бірге севеламердің/метаболиттердің бөлініп шығуы жөнінде деректер жоқ. Севеламердің сіңетін зат болып табылмайтыны белгілі, бұл оның емшек сүтімен бірге бөлініп шығуы мүмкіндігінің аз екенін көрсетеді. Бала емізуді тоқтату/жалғастыру немесе Севроже препаратымен емдеуді тоқтату/жалғастыру жөніндегі шешім нәресте үшін емшек емізудің пайдасы мен Севроже препаратының анасы үшін пайдасын ескере отырып, қабылдануы тиіс</w:t>
      </w:r>
      <w:r w:rsidR="00C3576F" w:rsidRPr="00CF3BA2">
        <w:rPr>
          <w:lang w:val="kk-KZ"/>
        </w:rPr>
        <w:t>.</w:t>
      </w:r>
    </w:p>
    <w:p w14:paraId="22110E2B" w14:textId="1A9BD8AC" w:rsidR="005245B3" w:rsidRPr="00CF3BA2" w:rsidRDefault="00C3576F">
      <w:pPr>
        <w:spacing w:before="1"/>
        <w:ind w:left="219"/>
        <w:rPr>
          <w:i/>
          <w:spacing w:val="-2"/>
          <w:sz w:val="24"/>
          <w:szCs w:val="24"/>
          <w:lang w:val="kk-KZ"/>
        </w:rPr>
      </w:pPr>
      <w:r w:rsidRPr="00CF3BA2">
        <w:rPr>
          <w:i/>
          <w:spacing w:val="-2"/>
          <w:sz w:val="24"/>
          <w:szCs w:val="24"/>
          <w:lang w:val="kk-KZ"/>
        </w:rPr>
        <w:t>Фертиль</w:t>
      </w:r>
      <w:r w:rsidR="00F448F0" w:rsidRPr="00CF3BA2">
        <w:rPr>
          <w:i/>
          <w:spacing w:val="-2"/>
          <w:sz w:val="24"/>
          <w:szCs w:val="24"/>
          <w:lang w:val="kk-KZ"/>
        </w:rPr>
        <w:t>ділік</w:t>
      </w:r>
    </w:p>
    <w:p w14:paraId="140E7F4C" w14:textId="0133F639" w:rsidR="005245B3" w:rsidRPr="00CF3BA2" w:rsidRDefault="006B48AD">
      <w:pPr>
        <w:pStyle w:val="a3"/>
        <w:spacing w:before="66"/>
        <w:ind w:right="230"/>
        <w:rPr>
          <w:lang w:val="kk-KZ"/>
        </w:rPr>
      </w:pPr>
      <w:r w:rsidRPr="00CF3BA2">
        <w:rPr>
          <w:lang w:val="kk-KZ"/>
        </w:rPr>
        <w:t>Севеламердің фертильділікке әсері туралы деректер жоқ. Жануарларға жүргізілген зерттеулер көрсеткендей, севеламер салыстырмалы ДБА салыстыру негізінде күніне 13 г ең жоғары клиникалық сынақ дозасынан 2 есе көп, адамға арналған дозаға баламалы дозада әсер еткен кезде еркек пен ұрғашы егеуқұйрықтарда фертильділікті бұзбаған</w:t>
      </w:r>
      <w:r w:rsidR="00C3576F" w:rsidRPr="00CF3BA2">
        <w:rPr>
          <w:lang w:val="kk-KZ"/>
        </w:rPr>
        <w:t>.</w:t>
      </w:r>
    </w:p>
    <w:p w14:paraId="0B363B10" w14:textId="77777777" w:rsidR="005245B3" w:rsidRPr="00CF3BA2" w:rsidRDefault="005245B3">
      <w:pPr>
        <w:pStyle w:val="a3"/>
        <w:spacing w:before="10"/>
        <w:ind w:left="0"/>
        <w:jc w:val="left"/>
        <w:rPr>
          <w:lang w:val="kk-KZ"/>
        </w:rPr>
      </w:pPr>
    </w:p>
    <w:p w14:paraId="3A848DFC" w14:textId="1C886356" w:rsidR="005245B3" w:rsidRPr="00CF3BA2" w:rsidRDefault="006B48AD">
      <w:pPr>
        <w:pStyle w:val="2"/>
        <w:numPr>
          <w:ilvl w:val="1"/>
          <w:numId w:val="3"/>
        </w:numPr>
        <w:tabs>
          <w:tab w:val="left" w:pos="801"/>
        </w:tabs>
        <w:spacing w:before="1" w:line="237" w:lineRule="auto"/>
        <w:ind w:left="219" w:right="236" w:firstLine="0"/>
        <w:rPr>
          <w:lang w:val="kk-KZ"/>
        </w:rPr>
      </w:pPr>
      <w:r w:rsidRPr="00CF3BA2">
        <w:rPr>
          <w:lang w:val="kk-KZ" w:eastAsia="ru-RU"/>
        </w:rPr>
        <w:t>Көлік құралдарын және қауіптілігі зор механизмдерді басқару қабілетіне әсері</w:t>
      </w:r>
    </w:p>
    <w:p w14:paraId="0A47C6BB" w14:textId="77B3DBBB" w:rsidR="005245B3" w:rsidRPr="00CF3BA2" w:rsidRDefault="006B48AD">
      <w:pPr>
        <w:pStyle w:val="a3"/>
        <w:spacing w:line="237" w:lineRule="auto"/>
        <w:ind w:right="240"/>
        <w:rPr>
          <w:lang w:val="kk-KZ"/>
        </w:rPr>
      </w:pPr>
      <w:r w:rsidRPr="00CF3BA2">
        <w:rPr>
          <w:rFonts w:eastAsia="TimesNewRomanPSMT"/>
          <w:lang w:val="kk-KZ" w:eastAsia="ru-RU"/>
        </w:rPr>
        <w:t>Севеламер көлік құралдарын және қауіптілігі зор механизмдерді басқару қабілетіне әсер етпейді немесе елеусіз әсер етеді</w:t>
      </w:r>
      <w:r w:rsidR="00C3576F" w:rsidRPr="00CF3BA2">
        <w:rPr>
          <w:lang w:val="kk-KZ"/>
        </w:rPr>
        <w:t>.</w:t>
      </w:r>
    </w:p>
    <w:p w14:paraId="7E9FA0AA" w14:textId="77777777" w:rsidR="005245B3" w:rsidRPr="00CF3BA2" w:rsidRDefault="005245B3">
      <w:pPr>
        <w:pStyle w:val="a3"/>
        <w:spacing w:before="6"/>
        <w:ind w:left="0"/>
        <w:jc w:val="left"/>
        <w:rPr>
          <w:lang w:val="kk-KZ"/>
        </w:rPr>
      </w:pPr>
    </w:p>
    <w:p w14:paraId="4CE38475" w14:textId="7A7FA8BD" w:rsidR="005245B3" w:rsidRPr="00CF3BA2" w:rsidRDefault="006B48AD">
      <w:pPr>
        <w:pStyle w:val="2"/>
        <w:numPr>
          <w:ilvl w:val="1"/>
          <w:numId w:val="3"/>
        </w:numPr>
        <w:tabs>
          <w:tab w:val="left" w:pos="585"/>
        </w:tabs>
        <w:rPr>
          <w:lang w:val="kk-KZ"/>
        </w:rPr>
      </w:pPr>
      <w:r w:rsidRPr="00CF3BA2">
        <w:rPr>
          <w:lang w:val="kk-KZ"/>
        </w:rPr>
        <w:t xml:space="preserve"> Жағымсыз</w:t>
      </w:r>
      <w:r w:rsidR="00C3576F" w:rsidRPr="00CF3BA2">
        <w:rPr>
          <w:spacing w:val="-5"/>
          <w:lang w:val="kk-KZ"/>
        </w:rPr>
        <w:t xml:space="preserve"> </w:t>
      </w:r>
      <w:r w:rsidR="00C3576F" w:rsidRPr="00CF3BA2">
        <w:rPr>
          <w:spacing w:val="-2"/>
          <w:lang w:val="kk-KZ"/>
        </w:rPr>
        <w:t>реакци</w:t>
      </w:r>
      <w:r w:rsidRPr="00CF3BA2">
        <w:rPr>
          <w:spacing w:val="-2"/>
          <w:lang w:val="kk-KZ"/>
        </w:rPr>
        <w:t>ялар</w:t>
      </w:r>
    </w:p>
    <w:p w14:paraId="4F5D4928" w14:textId="6048C439" w:rsidR="005245B3" w:rsidRPr="00CF3BA2" w:rsidRDefault="00D6312B">
      <w:pPr>
        <w:pStyle w:val="a3"/>
        <w:ind w:right="229"/>
        <w:rPr>
          <w:lang w:val="kk-KZ"/>
        </w:rPr>
      </w:pPr>
      <w:r w:rsidRPr="00CF3BA2">
        <w:rPr>
          <w:bCs/>
          <w:lang w:val="kk-KZ" w:eastAsia="ru-RU"/>
        </w:rPr>
        <w:t>Жағымсыз құбылыстардың жиілігін анықтау мынадай критерийлерге сәйкес жүргізіледі: өте жиі (≥ 1/10), жиі (≥ 1/100-ден &lt; 1/10-ға дейін), жиі емес (≥ 1/1000-нан &lt; 1/100-ге дейін), сирек (≥ 1/10000-нан &lt; 1/1000-ға дейін), өте сирек (&lt; 1/10000), белгісіз (қолда бар деректер негізінде бағалау мүмкін емес</w:t>
      </w:r>
      <w:r w:rsidR="00C3576F" w:rsidRPr="00CF3BA2">
        <w:rPr>
          <w:lang w:val="kk-KZ"/>
        </w:rPr>
        <w:t>.</w:t>
      </w:r>
    </w:p>
    <w:p w14:paraId="48CC5667" w14:textId="1FE95303" w:rsidR="005245B3" w:rsidRPr="00CF3BA2" w:rsidRDefault="00D6312B">
      <w:pPr>
        <w:pStyle w:val="a3"/>
        <w:spacing w:line="275" w:lineRule="exact"/>
        <w:jc w:val="left"/>
        <w:rPr>
          <w:lang w:val="kk-KZ"/>
        </w:rPr>
      </w:pPr>
      <w:r w:rsidRPr="00CF3BA2">
        <w:rPr>
          <w:iCs/>
          <w:u w:val="single"/>
          <w:lang w:val="kk-KZ"/>
        </w:rPr>
        <w:t>Қауіпсіздік бейінінің түйіндемесі</w:t>
      </w:r>
    </w:p>
    <w:p w14:paraId="621B8336" w14:textId="053D121B" w:rsidR="005245B3" w:rsidRPr="00CF3BA2" w:rsidRDefault="002429D0">
      <w:pPr>
        <w:pStyle w:val="a3"/>
        <w:ind w:right="233"/>
        <w:rPr>
          <w:lang w:val="kk-KZ"/>
        </w:rPr>
      </w:pPr>
      <w:r w:rsidRPr="00CF3BA2">
        <w:rPr>
          <w:iCs/>
          <w:lang w:val="kk-KZ"/>
        </w:rPr>
        <w:t>Ең жиі кездесетін (≥ 5% пациенттер) жағымсыз реакциялар асқазан-ішек жолының бұзылуларын қамтыды. Бұл жағымсыз реакциялардың көпшілігі жеңілден орташа қарқындылыққа дейін болды</w:t>
      </w:r>
      <w:r w:rsidR="00C3576F" w:rsidRPr="00CF3BA2">
        <w:rPr>
          <w:lang w:val="kk-KZ"/>
        </w:rPr>
        <w:t>.</w:t>
      </w:r>
    </w:p>
    <w:p w14:paraId="548587A2" w14:textId="42521F96" w:rsidR="005245B3" w:rsidRPr="00CF3BA2" w:rsidRDefault="002429D0">
      <w:pPr>
        <w:spacing w:before="1" w:line="275" w:lineRule="exact"/>
        <w:ind w:left="219"/>
        <w:rPr>
          <w:i/>
          <w:sz w:val="24"/>
          <w:szCs w:val="24"/>
          <w:lang w:val="kk-KZ"/>
        </w:rPr>
      </w:pPr>
      <w:r w:rsidRPr="00CF3BA2">
        <w:rPr>
          <w:i/>
          <w:spacing w:val="-4"/>
          <w:sz w:val="24"/>
          <w:szCs w:val="24"/>
          <w:lang w:val="kk-KZ"/>
        </w:rPr>
        <w:t>Балалар</w:t>
      </w:r>
    </w:p>
    <w:p w14:paraId="21B1239A" w14:textId="21C1FA46" w:rsidR="005245B3" w:rsidRPr="00CF3BA2" w:rsidRDefault="002429D0" w:rsidP="002429D0">
      <w:pPr>
        <w:pStyle w:val="a3"/>
        <w:spacing w:line="242" w:lineRule="auto"/>
        <w:ind w:right="192"/>
        <w:rPr>
          <w:lang w:val="kk-KZ"/>
        </w:rPr>
      </w:pPr>
      <w:r w:rsidRPr="00CF3BA2">
        <w:rPr>
          <w:spacing w:val="-1"/>
          <w:lang w:val="kk-KZ" w:eastAsia="ru-RU"/>
        </w:rPr>
        <w:t>Әдетте балалар мен жасөспірімдер үшін (6-18 жас) қауіпсіздік бейіні ересектерге арналған қауіпсіздік бейінімен бірдей</w:t>
      </w:r>
      <w:r w:rsidR="00C3576F" w:rsidRPr="00CF3BA2">
        <w:rPr>
          <w:lang w:val="kk-KZ"/>
        </w:rPr>
        <w:t>.</w:t>
      </w:r>
    </w:p>
    <w:p w14:paraId="23AF84F1" w14:textId="19B59461" w:rsidR="005245B3" w:rsidRPr="00CF3BA2" w:rsidRDefault="002429D0">
      <w:pPr>
        <w:pStyle w:val="a3"/>
        <w:spacing w:line="271" w:lineRule="exact"/>
        <w:jc w:val="left"/>
        <w:rPr>
          <w:lang w:val="kk-KZ"/>
        </w:rPr>
      </w:pPr>
      <w:r w:rsidRPr="00CF3BA2">
        <w:rPr>
          <w:iCs/>
          <w:u w:val="single"/>
          <w:lang w:val="kk-KZ"/>
        </w:rPr>
        <w:lastRenderedPageBreak/>
        <w:t>Жағымсыз реакциялардың кестелік түйіндемесі</w:t>
      </w:r>
    </w:p>
    <w:p w14:paraId="1F8BDBA8" w14:textId="22A692AE" w:rsidR="005245B3" w:rsidRPr="00CF3BA2" w:rsidRDefault="0084203A">
      <w:pPr>
        <w:pStyle w:val="a3"/>
        <w:spacing w:before="2" w:after="9"/>
        <w:ind w:right="222"/>
        <w:rPr>
          <w:lang w:val="kk-KZ"/>
        </w:rPr>
      </w:pPr>
      <w:r w:rsidRPr="00CF3BA2">
        <w:rPr>
          <w:iCs/>
          <w:lang w:val="kk-KZ"/>
        </w:rPr>
        <w:t>Севеламердің (карбонатты және гидрохлоридті тұздардың) қауіпсіздігі 4-тен 50 аптаға дейінгі емделу ұзақтығы бар гемодиализдегі 969 пациенттің қатысуымен өткізілген көптеген клиникалық зерттеулерде зерттелді (724 пациент севеламер гидрохлоридін және 245 севеламер карбонатын қабылдаған), емдеу ұзақтығы 12 апта болатын перитонеалдық диализдегі 97 пациент (барлығы севеламер гидрохлоридін қабылдады) және емделу ұзақтығы 8-ден 12 аптаға дейін, диализде болмаған БСА бар 128 пациент (севеламер гидрохлоридімен 79 пациент және севеламер карбонатымен 49 пациент</w:t>
      </w:r>
      <w:r w:rsidR="00C3576F" w:rsidRPr="00CF3BA2">
        <w:rPr>
          <w:lang w:val="kk-KZ"/>
        </w:rPr>
        <w:t>).</w:t>
      </w:r>
    </w:p>
    <w:p w14:paraId="0A5085EA" w14:textId="77777777" w:rsidR="007B5CC6" w:rsidRPr="00CF3BA2" w:rsidRDefault="007B5CC6">
      <w:pPr>
        <w:pStyle w:val="a3"/>
        <w:spacing w:before="2" w:after="9"/>
        <w:ind w:right="222"/>
        <w:rPr>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269"/>
        <w:gridCol w:w="1828"/>
        <w:gridCol w:w="1797"/>
        <w:gridCol w:w="2790"/>
      </w:tblGrid>
      <w:tr w:rsidR="002C1A16" w:rsidRPr="00CF3BA2" w14:paraId="169E4ACF" w14:textId="77777777" w:rsidTr="002C1A16">
        <w:tc>
          <w:tcPr>
            <w:tcW w:w="1603" w:type="dxa"/>
            <w:shd w:val="clear" w:color="auto" w:fill="auto"/>
          </w:tcPr>
          <w:p w14:paraId="3A01A1C0" w14:textId="77777777" w:rsidR="002C1A16" w:rsidRPr="00CF3BA2" w:rsidRDefault="002C1A16" w:rsidP="003D29FC">
            <w:pPr>
              <w:adjustRightInd w:val="0"/>
              <w:rPr>
                <w:b/>
                <w:bCs/>
                <w:iCs/>
                <w:sz w:val="24"/>
                <w:szCs w:val="24"/>
                <w:lang w:val="kk-KZ"/>
              </w:rPr>
            </w:pPr>
            <w:r w:rsidRPr="00CF3BA2">
              <w:rPr>
                <w:b/>
                <w:bCs/>
                <w:iCs/>
                <w:sz w:val="24"/>
                <w:szCs w:val="24"/>
                <w:lang w:val="kk-KZ"/>
              </w:rPr>
              <w:t>MedDRA жүйе-ағза класы</w:t>
            </w:r>
          </w:p>
        </w:tc>
        <w:tc>
          <w:tcPr>
            <w:tcW w:w="1287" w:type="dxa"/>
            <w:shd w:val="clear" w:color="auto" w:fill="auto"/>
          </w:tcPr>
          <w:p w14:paraId="6BA721D5" w14:textId="77777777" w:rsidR="002C1A16" w:rsidRPr="00CF3BA2" w:rsidRDefault="002C1A16" w:rsidP="003D29FC">
            <w:pPr>
              <w:tabs>
                <w:tab w:val="left" w:pos="1372"/>
              </w:tabs>
              <w:jc w:val="both"/>
              <w:rPr>
                <w:b/>
                <w:bCs/>
                <w:iCs/>
                <w:sz w:val="24"/>
                <w:szCs w:val="24"/>
                <w:lang w:val="kk-KZ"/>
              </w:rPr>
            </w:pPr>
            <w:r w:rsidRPr="00CF3BA2">
              <w:rPr>
                <w:b/>
                <w:bCs/>
                <w:iCs/>
                <w:sz w:val="24"/>
                <w:szCs w:val="24"/>
                <w:lang w:val="kk-KZ"/>
              </w:rPr>
              <w:t>Өте жиі</w:t>
            </w:r>
          </w:p>
        </w:tc>
        <w:tc>
          <w:tcPr>
            <w:tcW w:w="1855" w:type="dxa"/>
            <w:shd w:val="clear" w:color="auto" w:fill="auto"/>
          </w:tcPr>
          <w:p w14:paraId="05C9D57A" w14:textId="77777777" w:rsidR="002C1A16" w:rsidRPr="00CF3BA2" w:rsidRDefault="002C1A16" w:rsidP="003D29FC">
            <w:pPr>
              <w:tabs>
                <w:tab w:val="left" w:pos="1372"/>
              </w:tabs>
              <w:jc w:val="both"/>
              <w:rPr>
                <w:b/>
                <w:bCs/>
                <w:iCs/>
                <w:sz w:val="24"/>
                <w:szCs w:val="24"/>
                <w:lang w:val="kk-KZ"/>
              </w:rPr>
            </w:pPr>
            <w:r w:rsidRPr="00CF3BA2">
              <w:rPr>
                <w:b/>
                <w:bCs/>
                <w:iCs/>
                <w:sz w:val="24"/>
                <w:szCs w:val="24"/>
                <w:lang w:val="kk-KZ"/>
              </w:rPr>
              <w:t xml:space="preserve">Жиі </w:t>
            </w:r>
          </w:p>
        </w:tc>
        <w:tc>
          <w:tcPr>
            <w:tcW w:w="1824" w:type="dxa"/>
            <w:shd w:val="clear" w:color="auto" w:fill="auto"/>
          </w:tcPr>
          <w:p w14:paraId="2B0F6EC8" w14:textId="77777777" w:rsidR="002C1A16" w:rsidRPr="00CF3BA2" w:rsidRDefault="002C1A16" w:rsidP="003D29FC">
            <w:pPr>
              <w:tabs>
                <w:tab w:val="left" w:pos="1372"/>
              </w:tabs>
              <w:jc w:val="both"/>
              <w:rPr>
                <w:b/>
                <w:bCs/>
                <w:iCs/>
                <w:sz w:val="24"/>
                <w:szCs w:val="24"/>
                <w:lang w:val="kk-KZ"/>
              </w:rPr>
            </w:pPr>
            <w:r w:rsidRPr="00CF3BA2">
              <w:rPr>
                <w:b/>
                <w:bCs/>
                <w:iCs/>
                <w:sz w:val="24"/>
                <w:szCs w:val="24"/>
                <w:lang w:val="kk-KZ"/>
              </w:rPr>
              <w:t>Өте сирек</w:t>
            </w:r>
          </w:p>
        </w:tc>
        <w:tc>
          <w:tcPr>
            <w:tcW w:w="2927" w:type="dxa"/>
            <w:shd w:val="clear" w:color="auto" w:fill="auto"/>
          </w:tcPr>
          <w:p w14:paraId="0A19B0BF" w14:textId="77777777" w:rsidR="002C1A16" w:rsidRPr="00CF3BA2" w:rsidRDefault="002C1A16" w:rsidP="003D29FC">
            <w:pPr>
              <w:tabs>
                <w:tab w:val="left" w:pos="1372"/>
              </w:tabs>
              <w:jc w:val="both"/>
              <w:rPr>
                <w:b/>
                <w:bCs/>
                <w:iCs/>
                <w:sz w:val="24"/>
                <w:szCs w:val="24"/>
                <w:lang w:val="kk-KZ"/>
              </w:rPr>
            </w:pPr>
            <w:r w:rsidRPr="00CF3BA2">
              <w:rPr>
                <w:b/>
                <w:bCs/>
                <w:iCs/>
                <w:sz w:val="24"/>
                <w:szCs w:val="24"/>
                <w:lang w:val="kk-KZ"/>
              </w:rPr>
              <w:t>Белгісіз (қолда бар деректер негізінде бағалау мүмкін емес)</w:t>
            </w:r>
          </w:p>
        </w:tc>
      </w:tr>
      <w:tr w:rsidR="002C1A16" w:rsidRPr="00CF3BA2" w14:paraId="738B7662" w14:textId="77777777" w:rsidTr="002C1A16">
        <w:tc>
          <w:tcPr>
            <w:tcW w:w="1603" w:type="dxa"/>
            <w:shd w:val="clear" w:color="auto" w:fill="auto"/>
          </w:tcPr>
          <w:p w14:paraId="51A89C3F" w14:textId="77777777" w:rsidR="002C1A16" w:rsidRPr="00CF3BA2" w:rsidRDefault="002C1A16" w:rsidP="003D29FC">
            <w:pPr>
              <w:tabs>
                <w:tab w:val="left" w:pos="1372"/>
              </w:tabs>
              <w:jc w:val="both"/>
              <w:rPr>
                <w:iCs/>
                <w:sz w:val="24"/>
                <w:szCs w:val="24"/>
                <w:lang w:val="kk-KZ"/>
              </w:rPr>
            </w:pPr>
            <w:r w:rsidRPr="00CF3BA2">
              <w:rPr>
                <w:iCs/>
                <w:sz w:val="24"/>
                <w:szCs w:val="24"/>
                <w:lang w:val="kk-KZ"/>
              </w:rPr>
              <w:t>Иммундық жүйенің бұзылулары</w:t>
            </w:r>
          </w:p>
        </w:tc>
        <w:tc>
          <w:tcPr>
            <w:tcW w:w="1287" w:type="dxa"/>
            <w:shd w:val="clear" w:color="auto" w:fill="auto"/>
          </w:tcPr>
          <w:p w14:paraId="4C7F0DCE" w14:textId="77777777" w:rsidR="002C1A16" w:rsidRPr="00CF3BA2" w:rsidRDefault="002C1A16" w:rsidP="003D29FC">
            <w:pPr>
              <w:tabs>
                <w:tab w:val="left" w:pos="1372"/>
              </w:tabs>
              <w:jc w:val="both"/>
              <w:rPr>
                <w:iCs/>
                <w:sz w:val="24"/>
                <w:szCs w:val="24"/>
                <w:lang w:val="kk-KZ"/>
              </w:rPr>
            </w:pPr>
          </w:p>
        </w:tc>
        <w:tc>
          <w:tcPr>
            <w:tcW w:w="1855" w:type="dxa"/>
            <w:shd w:val="clear" w:color="auto" w:fill="auto"/>
          </w:tcPr>
          <w:p w14:paraId="41416769" w14:textId="77777777" w:rsidR="002C1A16" w:rsidRPr="00CF3BA2" w:rsidRDefault="002C1A16" w:rsidP="003D29FC">
            <w:pPr>
              <w:tabs>
                <w:tab w:val="left" w:pos="1372"/>
              </w:tabs>
              <w:jc w:val="both"/>
              <w:rPr>
                <w:iCs/>
                <w:sz w:val="24"/>
                <w:szCs w:val="24"/>
                <w:lang w:val="kk-KZ"/>
              </w:rPr>
            </w:pPr>
          </w:p>
        </w:tc>
        <w:tc>
          <w:tcPr>
            <w:tcW w:w="1824" w:type="dxa"/>
            <w:shd w:val="clear" w:color="auto" w:fill="auto"/>
          </w:tcPr>
          <w:p w14:paraId="0528FD3E" w14:textId="77777777" w:rsidR="002C1A16" w:rsidRPr="00CF3BA2" w:rsidRDefault="002C1A16" w:rsidP="003D29FC">
            <w:pPr>
              <w:tabs>
                <w:tab w:val="left" w:pos="1372"/>
              </w:tabs>
              <w:jc w:val="both"/>
              <w:rPr>
                <w:sz w:val="24"/>
                <w:szCs w:val="24"/>
                <w:lang w:val="kk-KZ"/>
              </w:rPr>
            </w:pPr>
            <w:r w:rsidRPr="00CF3BA2">
              <w:rPr>
                <w:sz w:val="24"/>
                <w:szCs w:val="24"/>
                <w:lang w:val="kk-KZ"/>
              </w:rPr>
              <w:t>Аса жоғары</w:t>
            </w:r>
          </w:p>
          <w:p w14:paraId="1087DBB0" w14:textId="77777777" w:rsidR="002C1A16" w:rsidRPr="00CF3BA2" w:rsidRDefault="002C1A16" w:rsidP="003D29FC">
            <w:pPr>
              <w:tabs>
                <w:tab w:val="left" w:pos="1372"/>
              </w:tabs>
              <w:jc w:val="both"/>
              <w:rPr>
                <w:iCs/>
                <w:sz w:val="24"/>
                <w:szCs w:val="24"/>
                <w:lang w:val="kk-KZ"/>
              </w:rPr>
            </w:pPr>
            <w:r w:rsidRPr="00CF3BA2">
              <w:rPr>
                <w:sz w:val="24"/>
                <w:szCs w:val="24"/>
                <w:lang w:val="kk-KZ"/>
              </w:rPr>
              <w:t>сезімталдық*</w:t>
            </w:r>
          </w:p>
        </w:tc>
        <w:tc>
          <w:tcPr>
            <w:tcW w:w="2927" w:type="dxa"/>
            <w:shd w:val="clear" w:color="auto" w:fill="auto"/>
          </w:tcPr>
          <w:p w14:paraId="4703B033" w14:textId="77777777" w:rsidR="002C1A16" w:rsidRPr="00CF3BA2" w:rsidRDefault="002C1A16" w:rsidP="003D29FC">
            <w:pPr>
              <w:tabs>
                <w:tab w:val="left" w:pos="1372"/>
              </w:tabs>
              <w:jc w:val="both"/>
              <w:rPr>
                <w:iCs/>
                <w:sz w:val="24"/>
                <w:szCs w:val="24"/>
                <w:lang w:val="kk-KZ"/>
              </w:rPr>
            </w:pPr>
          </w:p>
        </w:tc>
      </w:tr>
      <w:tr w:rsidR="002C1A16" w:rsidRPr="00CF3BA2" w14:paraId="75405751" w14:textId="77777777" w:rsidTr="002C1A16">
        <w:tc>
          <w:tcPr>
            <w:tcW w:w="1603" w:type="dxa"/>
            <w:shd w:val="clear" w:color="auto" w:fill="auto"/>
          </w:tcPr>
          <w:p w14:paraId="48496FFB" w14:textId="77777777" w:rsidR="002C1A16" w:rsidRPr="00CF3BA2" w:rsidRDefault="002C1A16" w:rsidP="003D29FC">
            <w:pPr>
              <w:tabs>
                <w:tab w:val="left" w:pos="1372"/>
              </w:tabs>
              <w:jc w:val="both"/>
              <w:rPr>
                <w:iCs/>
                <w:sz w:val="24"/>
                <w:szCs w:val="24"/>
                <w:lang w:val="kk-KZ"/>
              </w:rPr>
            </w:pPr>
            <w:r w:rsidRPr="00CF3BA2">
              <w:rPr>
                <w:iCs/>
                <w:sz w:val="24"/>
                <w:szCs w:val="24"/>
                <w:lang w:val="kk-KZ"/>
              </w:rPr>
              <w:t>Асқазан-ішек жолының бұзылулары</w:t>
            </w:r>
          </w:p>
        </w:tc>
        <w:tc>
          <w:tcPr>
            <w:tcW w:w="1287" w:type="dxa"/>
            <w:shd w:val="clear" w:color="auto" w:fill="auto"/>
          </w:tcPr>
          <w:p w14:paraId="4459DD0E" w14:textId="77777777" w:rsidR="002C1A16" w:rsidRPr="00CF3BA2" w:rsidRDefault="002C1A16" w:rsidP="003D29FC">
            <w:pPr>
              <w:tabs>
                <w:tab w:val="left" w:pos="1372"/>
              </w:tabs>
              <w:jc w:val="both"/>
              <w:rPr>
                <w:iCs/>
                <w:sz w:val="24"/>
                <w:szCs w:val="24"/>
                <w:lang w:val="kk-KZ"/>
              </w:rPr>
            </w:pPr>
            <w:r w:rsidRPr="00CF3BA2">
              <w:rPr>
                <w:iCs/>
                <w:sz w:val="24"/>
                <w:szCs w:val="24"/>
                <w:lang w:val="kk-KZ"/>
              </w:rPr>
              <w:t>жүрек айнуы, құсу, іштің жоғарғы бөлігінің ауыруы, іш қату</w:t>
            </w:r>
          </w:p>
        </w:tc>
        <w:tc>
          <w:tcPr>
            <w:tcW w:w="1855" w:type="dxa"/>
            <w:shd w:val="clear" w:color="auto" w:fill="auto"/>
          </w:tcPr>
          <w:p w14:paraId="46823901" w14:textId="77777777" w:rsidR="002C1A16" w:rsidRPr="00CF3BA2" w:rsidRDefault="002C1A16" w:rsidP="003D29FC">
            <w:pPr>
              <w:tabs>
                <w:tab w:val="left" w:pos="1372"/>
              </w:tabs>
              <w:jc w:val="both"/>
              <w:rPr>
                <w:iCs/>
                <w:sz w:val="24"/>
                <w:szCs w:val="24"/>
                <w:lang w:val="kk-KZ"/>
              </w:rPr>
            </w:pPr>
            <w:r w:rsidRPr="00CF3BA2">
              <w:rPr>
                <w:iCs/>
                <w:sz w:val="24"/>
                <w:szCs w:val="24"/>
                <w:lang w:val="kk-KZ"/>
              </w:rPr>
              <w:t>диарея, диспепсия, метеоризм, абдоминальді ауырсыну</w:t>
            </w:r>
          </w:p>
        </w:tc>
        <w:tc>
          <w:tcPr>
            <w:tcW w:w="1824" w:type="dxa"/>
            <w:shd w:val="clear" w:color="auto" w:fill="auto"/>
          </w:tcPr>
          <w:p w14:paraId="0CD1A9D1" w14:textId="77777777" w:rsidR="002C1A16" w:rsidRPr="00CF3BA2" w:rsidRDefault="002C1A16" w:rsidP="003D29FC">
            <w:pPr>
              <w:tabs>
                <w:tab w:val="left" w:pos="1372"/>
              </w:tabs>
              <w:jc w:val="both"/>
              <w:rPr>
                <w:iCs/>
                <w:sz w:val="24"/>
                <w:szCs w:val="24"/>
                <w:lang w:val="kk-KZ"/>
              </w:rPr>
            </w:pPr>
          </w:p>
        </w:tc>
        <w:tc>
          <w:tcPr>
            <w:tcW w:w="2927" w:type="dxa"/>
            <w:shd w:val="clear" w:color="auto" w:fill="auto"/>
          </w:tcPr>
          <w:p w14:paraId="626C7138" w14:textId="77777777" w:rsidR="002C1A16" w:rsidRPr="00CF3BA2" w:rsidRDefault="002C1A16" w:rsidP="003D29FC">
            <w:pPr>
              <w:tabs>
                <w:tab w:val="left" w:pos="1372"/>
              </w:tabs>
              <w:jc w:val="both"/>
              <w:rPr>
                <w:iCs/>
                <w:sz w:val="24"/>
                <w:szCs w:val="24"/>
                <w:lang w:val="kk-KZ"/>
              </w:rPr>
            </w:pPr>
            <w:r w:rsidRPr="00CF3BA2">
              <w:rPr>
                <w:sz w:val="24"/>
                <w:szCs w:val="24"/>
                <w:lang w:val="kk-KZ"/>
              </w:rPr>
              <w:t>ішек бітелісі, ішектің толық/ішінара бітелісі, ішектің тесілуі</w:t>
            </w:r>
            <w:r w:rsidRPr="00CF3BA2">
              <w:rPr>
                <w:sz w:val="24"/>
                <w:szCs w:val="24"/>
                <w:vertAlign w:val="superscript"/>
                <w:lang w:val="kk-KZ"/>
              </w:rPr>
              <w:t>1</w:t>
            </w:r>
            <w:r w:rsidRPr="00CF3BA2">
              <w:rPr>
                <w:sz w:val="24"/>
                <w:szCs w:val="24"/>
                <w:lang w:val="kk-KZ"/>
              </w:rPr>
              <w:t>, асқазан-ішектен қан кету*</w:t>
            </w:r>
            <w:r w:rsidRPr="00CF3BA2">
              <w:rPr>
                <w:sz w:val="24"/>
                <w:szCs w:val="24"/>
                <w:vertAlign w:val="superscript"/>
                <w:lang w:val="kk-KZ"/>
              </w:rPr>
              <w:t>1</w:t>
            </w:r>
            <w:r w:rsidRPr="00CF3BA2">
              <w:rPr>
                <w:sz w:val="24"/>
                <w:szCs w:val="24"/>
                <w:lang w:val="kk-KZ"/>
              </w:rPr>
              <w:t>, асқазан-ішек жолындағы ойық жаралар, асқазан-ішек некрозы*</w:t>
            </w:r>
            <w:r w:rsidRPr="00CF3BA2">
              <w:rPr>
                <w:sz w:val="24"/>
                <w:szCs w:val="24"/>
                <w:vertAlign w:val="superscript"/>
                <w:lang w:val="kk-KZ"/>
              </w:rPr>
              <w:t>1</w:t>
            </w:r>
            <w:r w:rsidRPr="00CF3BA2">
              <w:rPr>
                <w:sz w:val="24"/>
                <w:szCs w:val="24"/>
                <w:lang w:val="kk-KZ"/>
              </w:rPr>
              <w:t>, колит*</w:t>
            </w:r>
            <w:r w:rsidRPr="00CF3BA2">
              <w:rPr>
                <w:sz w:val="24"/>
                <w:szCs w:val="24"/>
                <w:vertAlign w:val="superscript"/>
                <w:lang w:val="kk-KZ"/>
              </w:rPr>
              <w:t>1</w:t>
            </w:r>
            <w:r w:rsidRPr="00CF3BA2">
              <w:rPr>
                <w:sz w:val="24"/>
                <w:szCs w:val="24"/>
                <w:lang w:val="kk-KZ"/>
              </w:rPr>
              <w:t>, ішек массалары*1</w:t>
            </w:r>
          </w:p>
        </w:tc>
      </w:tr>
      <w:tr w:rsidR="002C1A16" w:rsidRPr="00CF3BA2" w14:paraId="42BD28DC" w14:textId="77777777" w:rsidTr="002C1A16">
        <w:tc>
          <w:tcPr>
            <w:tcW w:w="1603" w:type="dxa"/>
            <w:shd w:val="clear" w:color="auto" w:fill="auto"/>
          </w:tcPr>
          <w:p w14:paraId="4062C6CC" w14:textId="77777777" w:rsidR="002C1A16" w:rsidRPr="00CF3BA2" w:rsidRDefault="002C1A16" w:rsidP="003D29FC">
            <w:pPr>
              <w:tabs>
                <w:tab w:val="left" w:pos="1372"/>
              </w:tabs>
              <w:jc w:val="both"/>
              <w:rPr>
                <w:iCs/>
                <w:sz w:val="24"/>
                <w:szCs w:val="24"/>
                <w:lang w:val="kk-KZ"/>
              </w:rPr>
            </w:pPr>
            <w:r w:rsidRPr="00CF3BA2">
              <w:rPr>
                <w:iCs/>
                <w:sz w:val="24"/>
                <w:szCs w:val="24"/>
                <w:lang w:val="kk-KZ"/>
              </w:rPr>
              <w:t>Тері және тері асты тіндері тарапынан бұзылулар</w:t>
            </w:r>
          </w:p>
        </w:tc>
        <w:tc>
          <w:tcPr>
            <w:tcW w:w="1287" w:type="dxa"/>
            <w:shd w:val="clear" w:color="auto" w:fill="auto"/>
          </w:tcPr>
          <w:p w14:paraId="28714A11" w14:textId="77777777" w:rsidR="002C1A16" w:rsidRPr="00CF3BA2" w:rsidRDefault="002C1A16" w:rsidP="003D29FC">
            <w:pPr>
              <w:tabs>
                <w:tab w:val="left" w:pos="1372"/>
              </w:tabs>
              <w:jc w:val="both"/>
              <w:rPr>
                <w:iCs/>
                <w:sz w:val="24"/>
                <w:szCs w:val="24"/>
                <w:lang w:val="kk-KZ"/>
              </w:rPr>
            </w:pPr>
          </w:p>
        </w:tc>
        <w:tc>
          <w:tcPr>
            <w:tcW w:w="1855" w:type="dxa"/>
            <w:shd w:val="clear" w:color="auto" w:fill="auto"/>
          </w:tcPr>
          <w:p w14:paraId="1D332C5E" w14:textId="77777777" w:rsidR="002C1A16" w:rsidRPr="00CF3BA2" w:rsidRDefault="002C1A16" w:rsidP="003D29FC">
            <w:pPr>
              <w:tabs>
                <w:tab w:val="left" w:pos="1372"/>
              </w:tabs>
              <w:jc w:val="both"/>
              <w:rPr>
                <w:iCs/>
                <w:sz w:val="24"/>
                <w:szCs w:val="24"/>
                <w:lang w:val="kk-KZ"/>
              </w:rPr>
            </w:pPr>
          </w:p>
        </w:tc>
        <w:tc>
          <w:tcPr>
            <w:tcW w:w="1824" w:type="dxa"/>
            <w:shd w:val="clear" w:color="auto" w:fill="auto"/>
          </w:tcPr>
          <w:p w14:paraId="4F39E2D8" w14:textId="77777777" w:rsidR="002C1A16" w:rsidRPr="00CF3BA2" w:rsidRDefault="002C1A16" w:rsidP="003D29FC">
            <w:pPr>
              <w:tabs>
                <w:tab w:val="left" w:pos="1372"/>
              </w:tabs>
              <w:jc w:val="both"/>
              <w:rPr>
                <w:iCs/>
                <w:sz w:val="24"/>
                <w:szCs w:val="24"/>
                <w:lang w:val="kk-KZ"/>
              </w:rPr>
            </w:pPr>
          </w:p>
        </w:tc>
        <w:tc>
          <w:tcPr>
            <w:tcW w:w="2927" w:type="dxa"/>
            <w:shd w:val="clear" w:color="auto" w:fill="auto"/>
          </w:tcPr>
          <w:p w14:paraId="7AC06A5B" w14:textId="77777777" w:rsidR="002C1A16" w:rsidRPr="00CF3BA2" w:rsidRDefault="002C1A16" w:rsidP="003D29FC">
            <w:pPr>
              <w:tabs>
                <w:tab w:val="left" w:pos="1372"/>
              </w:tabs>
              <w:jc w:val="both"/>
              <w:rPr>
                <w:iCs/>
                <w:sz w:val="24"/>
                <w:szCs w:val="24"/>
                <w:lang w:val="kk-KZ"/>
              </w:rPr>
            </w:pPr>
            <w:r w:rsidRPr="00CF3BA2">
              <w:rPr>
                <w:sz w:val="24"/>
                <w:szCs w:val="24"/>
                <w:lang w:val="kk-KZ"/>
              </w:rPr>
              <w:t>Қышыну, бөртпе</w:t>
            </w:r>
          </w:p>
        </w:tc>
      </w:tr>
      <w:tr w:rsidR="002C1A16" w:rsidRPr="00CF3BA2" w14:paraId="01440685" w14:textId="77777777" w:rsidTr="002C1A16">
        <w:tc>
          <w:tcPr>
            <w:tcW w:w="1603" w:type="dxa"/>
            <w:shd w:val="clear" w:color="auto" w:fill="auto"/>
          </w:tcPr>
          <w:p w14:paraId="6DD546E0" w14:textId="77777777" w:rsidR="002C1A16" w:rsidRPr="00CF3BA2" w:rsidRDefault="002C1A16" w:rsidP="003D29FC">
            <w:pPr>
              <w:tabs>
                <w:tab w:val="left" w:pos="1372"/>
              </w:tabs>
              <w:jc w:val="both"/>
              <w:rPr>
                <w:iCs/>
                <w:sz w:val="24"/>
                <w:szCs w:val="24"/>
                <w:lang w:val="kk-KZ"/>
              </w:rPr>
            </w:pPr>
            <w:r w:rsidRPr="00CF3BA2">
              <w:rPr>
                <w:iCs/>
                <w:sz w:val="24"/>
                <w:szCs w:val="24"/>
                <w:lang w:val="kk-KZ"/>
              </w:rPr>
              <w:t>Зерттеулер</w:t>
            </w:r>
          </w:p>
        </w:tc>
        <w:tc>
          <w:tcPr>
            <w:tcW w:w="1287" w:type="dxa"/>
            <w:shd w:val="clear" w:color="auto" w:fill="auto"/>
          </w:tcPr>
          <w:p w14:paraId="2A0D001A" w14:textId="77777777" w:rsidR="002C1A16" w:rsidRPr="00CF3BA2" w:rsidRDefault="002C1A16" w:rsidP="003D29FC">
            <w:pPr>
              <w:tabs>
                <w:tab w:val="left" w:pos="1372"/>
              </w:tabs>
              <w:jc w:val="both"/>
              <w:rPr>
                <w:iCs/>
                <w:sz w:val="24"/>
                <w:szCs w:val="24"/>
                <w:lang w:val="kk-KZ"/>
              </w:rPr>
            </w:pPr>
          </w:p>
        </w:tc>
        <w:tc>
          <w:tcPr>
            <w:tcW w:w="1855" w:type="dxa"/>
            <w:shd w:val="clear" w:color="auto" w:fill="auto"/>
          </w:tcPr>
          <w:p w14:paraId="4FC9C1AE" w14:textId="77777777" w:rsidR="002C1A16" w:rsidRPr="00CF3BA2" w:rsidRDefault="002C1A16" w:rsidP="003D29FC">
            <w:pPr>
              <w:tabs>
                <w:tab w:val="left" w:pos="1372"/>
              </w:tabs>
              <w:jc w:val="both"/>
              <w:rPr>
                <w:iCs/>
                <w:sz w:val="24"/>
                <w:szCs w:val="24"/>
                <w:lang w:val="kk-KZ"/>
              </w:rPr>
            </w:pPr>
          </w:p>
        </w:tc>
        <w:tc>
          <w:tcPr>
            <w:tcW w:w="1824" w:type="dxa"/>
            <w:shd w:val="clear" w:color="auto" w:fill="auto"/>
          </w:tcPr>
          <w:p w14:paraId="0A18210E" w14:textId="77777777" w:rsidR="002C1A16" w:rsidRPr="00CF3BA2" w:rsidRDefault="002C1A16" w:rsidP="003D29FC">
            <w:pPr>
              <w:tabs>
                <w:tab w:val="left" w:pos="1372"/>
              </w:tabs>
              <w:jc w:val="both"/>
              <w:rPr>
                <w:iCs/>
                <w:sz w:val="24"/>
                <w:szCs w:val="24"/>
                <w:lang w:val="kk-KZ"/>
              </w:rPr>
            </w:pPr>
          </w:p>
        </w:tc>
        <w:tc>
          <w:tcPr>
            <w:tcW w:w="2927" w:type="dxa"/>
            <w:shd w:val="clear" w:color="auto" w:fill="auto"/>
          </w:tcPr>
          <w:p w14:paraId="5AB8DEB1" w14:textId="77777777" w:rsidR="002C1A16" w:rsidRPr="00CF3BA2" w:rsidRDefault="002C1A16" w:rsidP="003D29FC">
            <w:pPr>
              <w:adjustRightInd w:val="0"/>
              <w:rPr>
                <w:iCs/>
                <w:sz w:val="24"/>
                <w:szCs w:val="24"/>
                <w:lang w:val="kk-KZ"/>
              </w:rPr>
            </w:pPr>
            <w:r w:rsidRPr="00CF3BA2">
              <w:rPr>
                <w:sz w:val="24"/>
                <w:szCs w:val="24"/>
                <w:lang w:val="kk-KZ" w:eastAsia="ru-RU"/>
              </w:rPr>
              <w:t>Кристалданған ішек*</w:t>
            </w:r>
            <w:r w:rsidRPr="00CF3BA2">
              <w:rPr>
                <w:sz w:val="24"/>
                <w:szCs w:val="24"/>
                <w:vertAlign w:val="superscript"/>
                <w:lang w:val="kk-KZ" w:eastAsia="ru-RU"/>
              </w:rPr>
              <w:t>1</w:t>
            </w:r>
          </w:p>
        </w:tc>
      </w:tr>
    </w:tbl>
    <w:p w14:paraId="459E40DC" w14:textId="544E74D1" w:rsidR="005245B3" w:rsidRPr="00CF3BA2" w:rsidRDefault="00C3576F">
      <w:pPr>
        <w:spacing w:before="11"/>
        <w:ind w:left="219"/>
        <w:rPr>
          <w:sz w:val="24"/>
          <w:szCs w:val="24"/>
          <w:lang w:val="kk-KZ"/>
        </w:rPr>
      </w:pPr>
      <w:r w:rsidRPr="00CF3BA2">
        <w:rPr>
          <w:spacing w:val="-2"/>
          <w:sz w:val="24"/>
          <w:szCs w:val="24"/>
          <w:lang w:val="kk-KZ"/>
        </w:rPr>
        <w:t>*</w:t>
      </w:r>
      <w:r w:rsidRPr="00CF3BA2">
        <w:rPr>
          <w:spacing w:val="4"/>
          <w:sz w:val="24"/>
          <w:szCs w:val="24"/>
          <w:lang w:val="kk-KZ"/>
        </w:rPr>
        <w:t xml:space="preserve"> </w:t>
      </w:r>
      <w:r w:rsidR="002C1A16" w:rsidRPr="00CF3BA2">
        <w:rPr>
          <w:sz w:val="24"/>
          <w:szCs w:val="24"/>
          <w:lang w:val="kk-KZ"/>
        </w:rPr>
        <w:t xml:space="preserve">маркетингтен кейінгі </w:t>
      </w:r>
      <w:r w:rsidR="002C1A16" w:rsidRPr="00CF3BA2">
        <w:rPr>
          <w:spacing w:val="-4"/>
          <w:sz w:val="24"/>
          <w:szCs w:val="24"/>
          <w:lang w:val="kk-KZ"/>
        </w:rPr>
        <w:t>тәжірибе</w:t>
      </w:r>
    </w:p>
    <w:p w14:paraId="632B14E8" w14:textId="043DD4C9" w:rsidR="005245B3" w:rsidRPr="00CF3BA2" w:rsidRDefault="00C3576F">
      <w:pPr>
        <w:ind w:left="219"/>
        <w:rPr>
          <w:sz w:val="24"/>
          <w:szCs w:val="24"/>
          <w:lang w:val="kk-KZ"/>
        </w:rPr>
      </w:pPr>
      <w:r w:rsidRPr="00CF3BA2">
        <w:rPr>
          <w:sz w:val="24"/>
          <w:szCs w:val="24"/>
          <w:vertAlign w:val="superscript"/>
          <w:lang w:val="kk-KZ"/>
        </w:rPr>
        <w:t>1</w:t>
      </w:r>
      <w:r w:rsidRPr="00CF3BA2">
        <w:rPr>
          <w:spacing w:val="-8"/>
          <w:sz w:val="24"/>
          <w:szCs w:val="24"/>
          <w:lang w:val="kk-KZ"/>
        </w:rPr>
        <w:t xml:space="preserve"> </w:t>
      </w:r>
      <w:r w:rsidR="002C1A16" w:rsidRPr="00CF3BA2">
        <w:rPr>
          <w:sz w:val="24"/>
          <w:szCs w:val="24"/>
          <w:lang w:val="kk-KZ"/>
        </w:rPr>
        <w:t>.4 бөліміндегі асқазан-ішек жолдарының қабыну аурулары туралы ескертуді қараңыз</w:t>
      </w:r>
    </w:p>
    <w:p w14:paraId="06CDF215" w14:textId="77777777" w:rsidR="005245B3" w:rsidRPr="00CF3BA2" w:rsidRDefault="005245B3">
      <w:pPr>
        <w:pStyle w:val="a3"/>
        <w:spacing w:before="11"/>
        <w:ind w:left="0"/>
        <w:jc w:val="left"/>
        <w:rPr>
          <w:lang w:val="kk-KZ"/>
        </w:rPr>
      </w:pPr>
    </w:p>
    <w:p w14:paraId="25CCD564" w14:textId="6749CAED" w:rsidR="005245B3" w:rsidRPr="00CF3BA2" w:rsidRDefault="002C1A16">
      <w:pPr>
        <w:pStyle w:val="2"/>
        <w:rPr>
          <w:lang w:val="kk-KZ"/>
        </w:rPr>
      </w:pPr>
      <w:r w:rsidRPr="00CF3BA2">
        <w:rPr>
          <w:lang w:val="kk-KZ"/>
        </w:rPr>
        <w:t>Күмәнді жағымсыз дәрілік реакциялар туралы хабарлау</w:t>
      </w:r>
    </w:p>
    <w:p w14:paraId="3E2314ED" w14:textId="289A376E" w:rsidR="005245B3" w:rsidRPr="00CF3BA2" w:rsidRDefault="002C1A16">
      <w:pPr>
        <w:pStyle w:val="a3"/>
        <w:ind w:right="229"/>
        <w:rPr>
          <w:lang w:val="kk-KZ"/>
        </w:rPr>
      </w:pPr>
      <w:r w:rsidRPr="00CF3BA2">
        <w:rPr>
          <w:lang w:val="kk-KZ"/>
        </w:rPr>
        <w:t>ДП «пайда – қауіп» арақатынасын үздіксіз мониторингтеуді қамтамасыз ету мақсатында</w:t>
      </w:r>
      <w:r w:rsidRPr="00CF3BA2">
        <w:rPr>
          <w:rFonts w:eastAsia="Calibri"/>
          <w:lang w:val="kk-KZ"/>
        </w:rPr>
        <w:t xml:space="preserve"> ДП</w:t>
      </w:r>
      <w:r w:rsidRPr="00CF3BA2">
        <w:rPr>
          <w:lang w:val="kk-KZ"/>
        </w:rPr>
        <w:t xml:space="preserve"> тіркеуден кейінгі жағымсыз дәрілік реакциялар туралы хабарлау маңызды. Медициналық қызметкерлерге жағымсыз реакциялар туралы ұлттық хабарландыру жүйелері арқылы ДП кез келген күмәнді жағымсыз реакциялары туралы хабарлау ұсынылады</w:t>
      </w:r>
      <w:r w:rsidR="00C3576F" w:rsidRPr="00CF3BA2">
        <w:rPr>
          <w:lang w:val="kk-KZ"/>
        </w:rPr>
        <w:t>.</w:t>
      </w:r>
    </w:p>
    <w:p w14:paraId="62E69965" w14:textId="2E26BFB3" w:rsidR="005245B3" w:rsidRPr="00CF3BA2" w:rsidRDefault="002C1A16">
      <w:pPr>
        <w:pStyle w:val="a3"/>
        <w:ind w:right="231"/>
        <w:rPr>
          <w:lang w:val="kk-KZ"/>
        </w:rPr>
      </w:pPr>
      <w:r w:rsidRPr="00CF3BA2">
        <w:rPr>
          <w:color w:val="000000"/>
          <w:lang w:val="kk-KZ"/>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4397949A" w14:textId="77777777" w:rsidR="005245B3" w:rsidRPr="00CF3BA2" w:rsidRDefault="00BB28F6">
      <w:pPr>
        <w:pStyle w:val="a3"/>
        <w:jc w:val="left"/>
        <w:rPr>
          <w:lang w:val="kk-KZ"/>
        </w:rPr>
      </w:pPr>
      <w:hyperlink r:id="rId5">
        <w:r w:rsidR="00C3576F" w:rsidRPr="00CF3BA2">
          <w:rPr>
            <w:spacing w:val="-2"/>
            <w:lang w:val="kk-KZ"/>
          </w:rPr>
          <w:t>http://www.ndda.kz</w:t>
        </w:r>
      </w:hyperlink>
    </w:p>
    <w:p w14:paraId="292CBAC7" w14:textId="77777777" w:rsidR="005245B3" w:rsidRPr="00CF3BA2" w:rsidRDefault="005245B3">
      <w:pPr>
        <w:pStyle w:val="a3"/>
        <w:spacing w:before="4"/>
        <w:ind w:left="0"/>
        <w:jc w:val="left"/>
        <w:rPr>
          <w:lang w:val="kk-KZ"/>
        </w:rPr>
      </w:pPr>
    </w:p>
    <w:p w14:paraId="34062E2C" w14:textId="42F176AE" w:rsidR="005245B3" w:rsidRPr="00CF3BA2" w:rsidRDefault="002C1A16">
      <w:pPr>
        <w:pStyle w:val="2"/>
        <w:numPr>
          <w:ilvl w:val="1"/>
          <w:numId w:val="3"/>
        </w:numPr>
        <w:tabs>
          <w:tab w:val="left" w:pos="584"/>
        </w:tabs>
        <w:spacing w:line="272" w:lineRule="exact"/>
        <w:ind w:left="584" w:hanging="365"/>
        <w:rPr>
          <w:lang w:val="kk-KZ"/>
        </w:rPr>
      </w:pPr>
      <w:r w:rsidRPr="00CF3BA2">
        <w:rPr>
          <w:spacing w:val="-2"/>
          <w:lang w:val="kk-KZ"/>
        </w:rPr>
        <w:t xml:space="preserve"> </w:t>
      </w:r>
      <w:r w:rsidRPr="00CF3BA2">
        <w:rPr>
          <w:rFonts w:eastAsia="Calibri"/>
          <w:lang w:val="kk-KZ"/>
        </w:rPr>
        <w:t>Артық дозалану</w:t>
      </w:r>
    </w:p>
    <w:p w14:paraId="11D3F6F7" w14:textId="095219C9" w:rsidR="005936D0" w:rsidRPr="00CF3BA2" w:rsidRDefault="005936D0" w:rsidP="005936D0">
      <w:pPr>
        <w:pStyle w:val="a3"/>
        <w:ind w:right="230"/>
        <w:rPr>
          <w:lang w:val="kk-KZ"/>
        </w:rPr>
      </w:pPr>
      <w:r w:rsidRPr="00CF3BA2">
        <w:rPr>
          <w:lang w:val="kk-KZ"/>
        </w:rPr>
        <w:t xml:space="preserve">Севеламер карбонаты сияқты сондай белсенді компоненті бар севеламер гидрохлоридін дені сау еріктілердің 8 күн бойы күніне 14 г дозада жағымсыз әсерлерсіз қабылдағаны туралы белгілі. </w:t>
      </w:r>
    </w:p>
    <w:p w14:paraId="0BB613C9" w14:textId="77777777" w:rsidR="005936D0" w:rsidRPr="00CF3BA2" w:rsidRDefault="005936D0" w:rsidP="005936D0">
      <w:pPr>
        <w:pStyle w:val="a3"/>
        <w:ind w:right="230"/>
        <w:rPr>
          <w:lang w:val="kk-KZ"/>
        </w:rPr>
      </w:pPr>
      <w:r w:rsidRPr="00CF3BA2">
        <w:rPr>
          <w:lang w:val="kk-KZ"/>
        </w:rPr>
        <w:t xml:space="preserve">Бүйректің созылмалы ауруы бар пациенттерде бір реттік тәуліктік дозада 14,4 г севеламер карбонатының орташа тәуліктік дозасы зерттелді. </w:t>
      </w:r>
    </w:p>
    <w:p w14:paraId="6321C662" w14:textId="58B568B8" w:rsidR="005936D0" w:rsidRPr="00CF3BA2" w:rsidRDefault="005936D0" w:rsidP="005936D0">
      <w:pPr>
        <w:pStyle w:val="a3"/>
        <w:ind w:right="230"/>
        <w:rPr>
          <w:lang w:val="kk-KZ"/>
        </w:rPr>
      </w:pPr>
      <w:r w:rsidRPr="00CF3BA2">
        <w:rPr>
          <w:lang w:val="kk-KZ"/>
        </w:rPr>
        <w:t>Артық дозаланғанда байқалатын симптомдар 4.8 бөлімінде келтірілген жағымсыз реакцияларға ұқсас, оның ішінде негізінен іш қату және басқа да белгілі асқазан-ішек бұзылулары.</w:t>
      </w:r>
    </w:p>
    <w:p w14:paraId="4A5E4713" w14:textId="5FD4E77C" w:rsidR="005245B3" w:rsidRPr="00CF3BA2" w:rsidRDefault="005936D0" w:rsidP="005936D0">
      <w:pPr>
        <w:pStyle w:val="a3"/>
        <w:ind w:right="230"/>
        <w:rPr>
          <w:lang w:val="kk-KZ"/>
        </w:rPr>
      </w:pPr>
      <w:r w:rsidRPr="00CF3BA2">
        <w:rPr>
          <w:lang w:val="kk-KZ"/>
        </w:rPr>
        <w:t>Тиісті симптоматикалық емдеу жүргізілуі тиіс</w:t>
      </w:r>
      <w:r w:rsidR="00C3576F" w:rsidRPr="00CF3BA2">
        <w:rPr>
          <w:spacing w:val="-2"/>
          <w:lang w:val="kk-KZ"/>
        </w:rPr>
        <w:t>.</w:t>
      </w:r>
    </w:p>
    <w:p w14:paraId="1DD984DD" w14:textId="77777777" w:rsidR="005245B3" w:rsidRPr="00CF3BA2" w:rsidRDefault="005245B3">
      <w:pPr>
        <w:pStyle w:val="a3"/>
        <w:spacing w:before="5"/>
        <w:ind w:left="0"/>
        <w:jc w:val="left"/>
        <w:rPr>
          <w:lang w:val="kk-KZ"/>
        </w:rPr>
      </w:pPr>
    </w:p>
    <w:p w14:paraId="3CCAC769" w14:textId="7A441F88" w:rsidR="005245B3" w:rsidRPr="00CF3BA2" w:rsidRDefault="005936D0">
      <w:pPr>
        <w:pStyle w:val="1"/>
        <w:numPr>
          <w:ilvl w:val="0"/>
          <w:numId w:val="3"/>
        </w:numPr>
        <w:tabs>
          <w:tab w:val="left" w:pos="461"/>
        </w:tabs>
        <w:spacing w:line="240" w:lineRule="auto"/>
        <w:ind w:left="460" w:hanging="242"/>
        <w:jc w:val="both"/>
        <w:rPr>
          <w:lang w:val="kk-KZ"/>
        </w:rPr>
      </w:pPr>
      <w:r w:rsidRPr="00CF3BA2">
        <w:rPr>
          <w:lang w:val="kk-KZ"/>
        </w:rPr>
        <w:lastRenderedPageBreak/>
        <w:t>ФАРМАКОЛОГИЯЛЫҚ ҚАСИЕТТЕРІ</w:t>
      </w:r>
    </w:p>
    <w:p w14:paraId="4A50D8AB" w14:textId="3B8A47A1" w:rsidR="005245B3" w:rsidRPr="00CF3BA2" w:rsidRDefault="00C3576F">
      <w:pPr>
        <w:pStyle w:val="2"/>
        <w:spacing w:before="2" w:line="272" w:lineRule="exact"/>
        <w:rPr>
          <w:lang w:val="kk-KZ"/>
        </w:rPr>
      </w:pPr>
      <w:r w:rsidRPr="00CF3BA2">
        <w:rPr>
          <w:lang w:val="kk-KZ"/>
        </w:rPr>
        <w:t>5.1.</w:t>
      </w:r>
      <w:r w:rsidRPr="00CF3BA2">
        <w:rPr>
          <w:spacing w:val="-6"/>
          <w:lang w:val="kk-KZ"/>
        </w:rPr>
        <w:t xml:space="preserve"> </w:t>
      </w:r>
      <w:r w:rsidR="005936D0" w:rsidRPr="00CF3BA2">
        <w:rPr>
          <w:lang w:val="kk-KZ"/>
        </w:rPr>
        <w:t>Фармакодинамикалық қасиеттері</w:t>
      </w:r>
    </w:p>
    <w:p w14:paraId="1A94E394" w14:textId="58BB703C" w:rsidR="005245B3" w:rsidRPr="00CF3BA2" w:rsidRDefault="005936D0">
      <w:pPr>
        <w:pStyle w:val="a3"/>
        <w:spacing w:line="242" w:lineRule="auto"/>
        <w:ind w:right="230"/>
        <w:rPr>
          <w:lang w:val="kk-KZ"/>
        </w:rPr>
      </w:pPr>
      <w:r w:rsidRPr="00CF3BA2">
        <w:rPr>
          <w:rFonts w:eastAsia="TimesNewRomanPSMT"/>
          <w:lang w:val="kk-KZ"/>
        </w:rPr>
        <w:t>Фармакотерапиялық тобы</w:t>
      </w:r>
      <w:r w:rsidR="00C3576F" w:rsidRPr="00CF3BA2">
        <w:rPr>
          <w:lang w:val="kk-KZ"/>
        </w:rPr>
        <w:t xml:space="preserve">: </w:t>
      </w:r>
      <w:r w:rsidRPr="00CF3BA2">
        <w:rPr>
          <w:rFonts w:eastAsia="TimesNewRomanPSMT"/>
          <w:lang w:val="kk-KZ" w:eastAsia="ru-RU"/>
        </w:rPr>
        <w:t>Басқа емдік препараттар, барлығы. Гиперкалиемия мен гиперфосфатемияны емдеуге арналған препараттар</w:t>
      </w:r>
      <w:r w:rsidR="00C3576F" w:rsidRPr="00CF3BA2">
        <w:rPr>
          <w:lang w:val="kk-KZ"/>
        </w:rPr>
        <w:t>. Севеламер</w:t>
      </w:r>
    </w:p>
    <w:p w14:paraId="5CEB54DE" w14:textId="443E6464" w:rsidR="005245B3" w:rsidRPr="00CF3BA2" w:rsidRDefault="00C3576F">
      <w:pPr>
        <w:pStyle w:val="a3"/>
        <w:spacing w:line="271" w:lineRule="exact"/>
        <w:rPr>
          <w:lang w:val="kk-KZ"/>
        </w:rPr>
      </w:pPr>
      <w:r w:rsidRPr="00CF3BA2">
        <w:rPr>
          <w:lang w:val="kk-KZ"/>
        </w:rPr>
        <w:t>АТХ</w:t>
      </w:r>
      <w:r w:rsidR="005936D0" w:rsidRPr="00CF3BA2">
        <w:rPr>
          <w:lang w:val="kk-KZ"/>
        </w:rPr>
        <w:t xml:space="preserve"> коды</w:t>
      </w:r>
      <w:r w:rsidRPr="00CF3BA2">
        <w:rPr>
          <w:spacing w:val="2"/>
          <w:lang w:val="kk-KZ"/>
        </w:rPr>
        <w:t xml:space="preserve"> </w:t>
      </w:r>
      <w:r w:rsidRPr="00CF3BA2">
        <w:rPr>
          <w:spacing w:val="-2"/>
          <w:lang w:val="kk-KZ"/>
        </w:rPr>
        <w:t>V03AE02</w:t>
      </w:r>
    </w:p>
    <w:p w14:paraId="4B23BA04" w14:textId="01F61B94" w:rsidR="005245B3" w:rsidRPr="00CF3BA2" w:rsidRDefault="005936D0">
      <w:pPr>
        <w:spacing w:line="275" w:lineRule="exact"/>
        <w:ind w:left="219"/>
        <w:jc w:val="both"/>
        <w:rPr>
          <w:i/>
          <w:sz w:val="24"/>
          <w:szCs w:val="24"/>
          <w:lang w:val="kk-KZ"/>
        </w:rPr>
      </w:pPr>
      <w:r w:rsidRPr="00CF3BA2">
        <w:rPr>
          <w:i/>
          <w:sz w:val="24"/>
          <w:szCs w:val="24"/>
          <w:lang w:val="kk-KZ"/>
        </w:rPr>
        <w:t>Әсер ету м</w:t>
      </w:r>
      <w:r w:rsidR="00C3576F" w:rsidRPr="00CF3BA2">
        <w:rPr>
          <w:i/>
          <w:sz w:val="24"/>
          <w:szCs w:val="24"/>
          <w:lang w:val="kk-KZ"/>
        </w:rPr>
        <w:t>еханизм</w:t>
      </w:r>
      <w:r w:rsidRPr="00CF3BA2">
        <w:rPr>
          <w:i/>
          <w:spacing w:val="3"/>
          <w:sz w:val="24"/>
          <w:szCs w:val="24"/>
          <w:lang w:val="kk-KZ"/>
        </w:rPr>
        <w:t>і</w:t>
      </w:r>
    </w:p>
    <w:p w14:paraId="34A3FE7A" w14:textId="00631DA4" w:rsidR="005245B3" w:rsidRPr="00CF3BA2" w:rsidRDefault="002601F9">
      <w:pPr>
        <w:pStyle w:val="a3"/>
        <w:ind w:right="224"/>
        <w:rPr>
          <w:lang w:val="kk-KZ"/>
        </w:rPr>
      </w:pPr>
      <w:r w:rsidRPr="00CF3BA2">
        <w:rPr>
          <w:lang w:val="kk-KZ" w:eastAsia="ru-RU"/>
        </w:rPr>
        <w:t>Севроже препаратының әсер етуші заты севеламер болып табылады, ол – сіңірілмейтін фосфор-байланыстыратын тігілген полимер, құрамында металдар мен кальций жоқ. Севеламер асқазанда протондалатын полимерлі қаңқадан бір көміртек атомымен бөлінген көптеген амин топтарынан тұрады. Бұл протондалған амин топтары ішекке тамақпен бірге енетін фосфаттар сияқты теріс зарядталған иондарды байланыстырады</w:t>
      </w:r>
      <w:r w:rsidR="00C3576F" w:rsidRPr="00CF3BA2">
        <w:rPr>
          <w:lang w:val="kk-KZ"/>
        </w:rPr>
        <w:t>.</w:t>
      </w:r>
    </w:p>
    <w:p w14:paraId="12664BB1" w14:textId="6A3C1A48" w:rsidR="005245B3" w:rsidRPr="00CF3BA2" w:rsidRDefault="002601F9">
      <w:pPr>
        <w:ind w:left="219"/>
        <w:jc w:val="both"/>
        <w:rPr>
          <w:i/>
          <w:sz w:val="24"/>
          <w:szCs w:val="24"/>
          <w:lang w:val="kk-KZ"/>
        </w:rPr>
      </w:pPr>
      <w:r w:rsidRPr="00CF3BA2">
        <w:rPr>
          <w:i/>
          <w:iCs/>
          <w:sz w:val="24"/>
          <w:szCs w:val="24"/>
          <w:lang w:val="kk-KZ" w:eastAsia="ru-RU"/>
        </w:rPr>
        <w:t>Фармакодинамикалық әсерлері</w:t>
      </w:r>
    </w:p>
    <w:p w14:paraId="79726FB5" w14:textId="0A421A0B" w:rsidR="005245B3" w:rsidRPr="00CF3BA2" w:rsidRDefault="002601F9">
      <w:pPr>
        <w:pStyle w:val="a3"/>
        <w:spacing w:before="1"/>
        <w:ind w:right="234"/>
        <w:rPr>
          <w:lang w:val="kk-KZ"/>
        </w:rPr>
      </w:pPr>
      <w:r w:rsidRPr="00CF3BA2">
        <w:rPr>
          <w:lang w:val="kk-KZ" w:eastAsia="ru-RU"/>
        </w:rPr>
        <w:t>Асқазан-ішек жолындағы фосфаттарды байланыстырып, олардың сіңуін азайта отырып, севеламер қан сарысуындағы фосфор концентрациясын төмендетеді. Фосфатты байланыстыратын препараттарды қолданған кезде қан сарысуындағы фосфор деңгейіне ұдайы мониторинг жүргізу қажет</w:t>
      </w:r>
      <w:r w:rsidR="00C3576F" w:rsidRPr="00CF3BA2">
        <w:rPr>
          <w:lang w:val="kk-KZ"/>
        </w:rPr>
        <w:t>.</w:t>
      </w:r>
    </w:p>
    <w:p w14:paraId="36346B9D" w14:textId="076EEA82" w:rsidR="005245B3" w:rsidRPr="00CF3BA2" w:rsidRDefault="002601F9">
      <w:pPr>
        <w:spacing w:line="275" w:lineRule="exact"/>
        <w:ind w:left="219"/>
        <w:jc w:val="both"/>
        <w:rPr>
          <w:i/>
          <w:sz w:val="24"/>
          <w:szCs w:val="24"/>
          <w:lang w:val="kk-KZ"/>
        </w:rPr>
      </w:pPr>
      <w:r w:rsidRPr="00CF3BA2">
        <w:rPr>
          <w:i/>
          <w:iCs/>
          <w:sz w:val="24"/>
          <w:szCs w:val="24"/>
          <w:lang w:val="kk-KZ" w:eastAsia="ru-RU"/>
        </w:rPr>
        <w:t>Клиникалық тиімділігі және қауіпсіздігі</w:t>
      </w:r>
    </w:p>
    <w:p w14:paraId="14113F6D" w14:textId="6A307639" w:rsidR="005245B3" w:rsidRPr="00CF3BA2" w:rsidRDefault="003C25C4">
      <w:pPr>
        <w:pStyle w:val="a3"/>
        <w:ind w:right="225"/>
        <w:rPr>
          <w:lang w:val="kk-KZ"/>
        </w:rPr>
      </w:pPr>
      <w:r w:rsidRPr="00CF3BA2">
        <w:rPr>
          <w:lang w:val="kk-KZ" w:eastAsia="ru-RU"/>
        </w:rPr>
        <w:t>Екі рандомизацияланған айқаспалы клиникалық зерттеулерде севеламер карбонаты таблетка түрінде де, ұнтақ түрінде де қолданылды, күніне үш рет енгізген кезде оның севоламер гидрохлоридіне емдік тұрғыдан баламалы екені, сондықтан гемодиализде жүрген БСА науқастарында сарысудағы фосфорды бақылауда тиімді екені көрсетілген</w:t>
      </w:r>
      <w:r w:rsidR="00C3576F" w:rsidRPr="00CF3BA2">
        <w:rPr>
          <w:lang w:val="kk-KZ"/>
        </w:rPr>
        <w:t>.</w:t>
      </w:r>
    </w:p>
    <w:p w14:paraId="464099D5" w14:textId="6980C9AB" w:rsidR="005245B3" w:rsidRPr="00CF3BA2" w:rsidRDefault="00EB1D11" w:rsidP="007B5CC6">
      <w:pPr>
        <w:pStyle w:val="a3"/>
        <w:spacing w:before="2"/>
        <w:ind w:right="224"/>
        <w:rPr>
          <w:lang w:val="kk-KZ"/>
        </w:rPr>
      </w:pPr>
      <w:r w:rsidRPr="00CF3BA2">
        <w:rPr>
          <w:lang w:val="kk-KZ" w:eastAsia="ru-RU"/>
        </w:rPr>
        <w:t>Алғашқы зерттеу рандомизацияланған түрде екіден 8 аптаға дейін гемодиализбен емделіп жатқан 79 пациентте  күніне үш рет қабылдаған кездегі севеламер карбонаты таблеткалары күніне үш рет қабылдаған кездегі севеламер гидрохлориді таблеткаларына баламалы болатынын көрсетті (севеламер карбонаты үшін де, севеламер гидрохлориді үшін де сарысулық фосфорды өлшеу уақыты бойынша орташа мәндер 1,5 ± 0,3 ммоль/л құрады)</w:t>
      </w:r>
      <w:r w:rsidR="00C3576F" w:rsidRPr="00CF3BA2">
        <w:rPr>
          <w:lang w:val="kk-KZ"/>
        </w:rPr>
        <w:t xml:space="preserve">. </w:t>
      </w:r>
      <w:r w:rsidRPr="00CF3BA2">
        <w:rPr>
          <w:lang w:val="kk-KZ" w:eastAsia="ru-RU"/>
        </w:rPr>
        <w:t>Екінші зерттеу көрсеткендей, күніне үш рет қабылдаған кезде севеламер карбонаты ұнтағы екі рандомизацияланған 4 апталық емдеу кезеңінде гемодиализде болған гиперфосфатемиялық күйдегі (фосфордың сарысулық деңгейі ≥ 1,78 ммоль/л ретінде анықталады) 31 пациентте күніне үш рет қабылдаған кезде севеламер гидрохлориді таблеткаларына баламалы болды (өлшеу уақыты бойынша фосфор сарысуының орташа мәндері севеламер карбонаты ұнтағы үшін 1,6 ± 0,5 ммоль/л және севеламер гидрохлориді таблеткалары үшін 1,7 ± 1,7 0,4 ммоль/л құрады)</w:t>
      </w:r>
      <w:r w:rsidR="00C3576F" w:rsidRPr="00CF3BA2">
        <w:rPr>
          <w:lang w:val="kk-KZ"/>
        </w:rPr>
        <w:t>.</w:t>
      </w:r>
    </w:p>
    <w:p w14:paraId="375A683B" w14:textId="06864AA3" w:rsidR="005245B3" w:rsidRPr="00CF3BA2" w:rsidRDefault="007A492C" w:rsidP="00B200D4">
      <w:pPr>
        <w:pStyle w:val="a3"/>
        <w:tabs>
          <w:tab w:val="left" w:pos="968"/>
          <w:tab w:val="left" w:pos="1183"/>
          <w:tab w:val="left" w:pos="1352"/>
          <w:tab w:val="left" w:pos="2662"/>
          <w:tab w:val="left" w:pos="2989"/>
          <w:tab w:val="left" w:pos="4475"/>
          <w:tab w:val="left" w:pos="4624"/>
          <w:tab w:val="left" w:pos="4955"/>
          <w:tab w:val="left" w:pos="5363"/>
          <w:tab w:val="left" w:pos="6121"/>
          <w:tab w:val="left" w:pos="6494"/>
          <w:tab w:val="left" w:pos="6940"/>
          <w:tab w:val="left" w:pos="7468"/>
          <w:tab w:val="left" w:pos="7974"/>
          <w:tab w:val="left" w:pos="9046"/>
        </w:tabs>
        <w:spacing w:before="4"/>
        <w:ind w:right="221"/>
        <w:rPr>
          <w:spacing w:val="-2"/>
          <w:lang w:val="kk-KZ"/>
        </w:rPr>
      </w:pPr>
      <w:r w:rsidRPr="00CF3BA2">
        <w:rPr>
          <w:lang w:val="kk-KZ" w:eastAsia="ru-RU"/>
        </w:rPr>
        <w:t>Гемодиализде жүрген пациенттердегі клиникалық сынақтарда тек севеламерді қабылдаудың интактілі ПТГ-ге бірізді және клиникалық маңызды әсері  болмады. Перитонеалдық диализде жүрген пациенттердің қатысуымен 12 апталық зерттеуде, кальций ацетатын қабылдаған пациенттермен салыстырғанда интактілі ПТГ ұқсас төмендеуі байқалды. Салдарлы гиперпаратиреозы бар пациенттерде севеламер  карбонатын бірнеше реттік терапевтік емдеу аясында қолдану керек, ол қоспа ретінде кальцийді, 1,25-дигидрокси D3 дәруменін немесе оның аналогтарының біреуін қамтуы мүмкін, интактілі ПТГ деңгейін төмендетеді</w:t>
      </w:r>
      <w:r w:rsidR="00C3576F" w:rsidRPr="00CF3BA2">
        <w:rPr>
          <w:lang w:val="kk-KZ"/>
        </w:rPr>
        <w:t xml:space="preserve">. </w:t>
      </w:r>
      <w:r w:rsidR="009B62B9" w:rsidRPr="00CF3BA2">
        <w:rPr>
          <w:lang w:val="kk-KZ" w:eastAsia="ru-RU"/>
        </w:rPr>
        <w:t xml:space="preserve">Севеламер жануарлардың эксперименттік модельдерінде өт қышқылдарын </w:t>
      </w:r>
      <w:r w:rsidR="009B62B9" w:rsidRPr="00CF3BA2">
        <w:rPr>
          <w:i/>
          <w:iCs/>
          <w:lang w:val="kk-KZ" w:eastAsia="ru-RU"/>
        </w:rPr>
        <w:t>in vitro</w:t>
      </w:r>
      <w:r w:rsidR="009B62B9" w:rsidRPr="00CF3BA2">
        <w:rPr>
          <w:lang w:val="kk-KZ" w:eastAsia="ru-RU"/>
        </w:rPr>
        <w:t xml:space="preserve"> және </w:t>
      </w:r>
      <w:r w:rsidR="009B62B9" w:rsidRPr="00CF3BA2">
        <w:rPr>
          <w:i/>
          <w:iCs/>
          <w:lang w:val="kk-KZ" w:eastAsia="ru-RU"/>
        </w:rPr>
        <w:t>in vivo</w:t>
      </w:r>
      <w:r w:rsidR="009B62B9" w:rsidRPr="00CF3BA2">
        <w:rPr>
          <w:lang w:val="kk-KZ" w:eastAsia="ru-RU"/>
        </w:rPr>
        <w:t xml:space="preserve"> байланыстыратыны байқалған. Өт қышқылының ион алмасу шайырлары арқылы байланысуы қандағы холестерин деңгейін төмендетудің жақсы жолға қойылған әдісі болып табылады. Клиникалық  сынақтарда севеламерде жалпы холестерин мен ТТЛП холестеринінің орташа деңгейі 15-39% төмендеді. Холестериннің азаюы 2 апта емедуден кейін байқалады және ұзақ емдеу кезінде сақталады</w:t>
      </w:r>
      <w:r w:rsidR="00C3576F" w:rsidRPr="00CF3BA2">
        <w:rPr>
          <w:spacing w:val="-2"/>
          <w:lang w:val="kk-KZ"/>
        </w:rPr>
        <w:t>.</w:t>
      </w:r>
    </w:p>
    <w:p w14:paraId="225D6FD5" w14:textId="6A9FF54E" w:rsidR="005245B3" w:rsidRPr="00CF3BA2" w:rsidRDefault="009B62B9" w:rsidP="009B62B9">
      <w:pPr>
        <w:pStyle w:val="a3"/>
        <w:spacing w:line="242" w:lineRule="auto"/>
        <w:ind w:right="192"/>
        <w:rPr>
          <w:lang w:val="kk-KZ"/>
        </w:rPr>
      </w:pPr>
      <w:r w:rsidRPr="00CF3BA2">
        <w:rPr>
          <w:lang w:val="kk-KZ" w:eastAsia="ru-RU"/>
        </w:rPr>
        <w:t>Севеламермен емдеуден кейін триглицеридтердің, ТЖЛП холестериннің және альбуминнің деңгейі өзгерген жоқ</w:t>
      </w:r>
      <w:r w:rsidR="00C3576F" w:rsidRPr="00CF3BA2">
        <w:rPr>
          <w:lang w:val="kk-KZ"/>
        </w:rPr>
        <w:t>.</w:t>
      </w:r>
    </w:p>
    <w:p w14:paraId="15929F55" w14:textId="0E3450CC" w:rsidR="009B62B9" w:rsidRPr="00CF3BA2" w:rsidRDefault="009B62B9" w:rsidP="009B62B9">
      <w:pPr>
        <w:pStyle w:val="a3"/>
        <w:spacing w:line="242" w:lineRule="auto"/>
        <w:ind w:right="192"/>
        <w:rPr>
          <w:lang w:val="kk-KZ"/>
        </w:rPr>
      </w:pPr>
      <w:r w:rsidRPr="00CF3BA2">
        <w:rPr>
          <w:lang w:val="kk-KZ" w:eastAsia="ru-RU"/>
        </w:rPr>
        <w:t>Севеламер өт қышқылдарын байланыстыратындықтан, ол A, D, E және K сияқты майда еритін дәрумендердің сіңуіне кедергі жасауы мүмкін.</w:t>
      </w:r>
    </w:p>
    <w:p w14:paraId="6653549C" w14:textId="5992CEE9" w:rsidR="005245B3" w:rsidRPr="00CF3BA2" w:rsidRDefault="009B62B9">
      <w:pPr>
        <w:pStyle w:val="a3"/>
        <w:ind w:right="229"/>
        <w:rPr>
          <w:lang w:val="kk-KZ"/>
        </w:rPr>
      </w:pPr>
      <w:r w:rsidRPr="00CF3BA2">
        <w:rPr>
          <w:lang w:val="kk-KZ" w:eastAsia="ru-RU"/>
        </w:rPr>
        <w:t>Севеламердің құрамында кальций жоқ және кальций негізіндегі фосфат байланыстырғыш заттарды қабылдайтын пациенттермен салыстырғанда гиперкальциемия көріністерінің жиілігін төмендетеді</w:t>
      </w:r>
      <w:r w:rsidR="00C3576F" w:rsidRPr="00CF3BA2">
        <w:rPr>
          <w:lang w:val="kk-KZ"/>
        </w:rPr>
        <w:t xml:space="preserve">. </w:t>
      </w:r>
      <w:r w:rsidR="00EB7191" w:rsidRPr="00CF3BA2">
        <w:rPr>
          <w:lang w:val="kk-KZ" w:eastAsia="ru-RU"/>
        </w:rPr>
        <w:t xml:space="preserve">Севеламердің фосфор мен кальцийге әсері - кейіннен бір жыл бойы бақылай отырып, олардың бүкіл зерттеу </w:t>
      </w:r>
      <w:r w:rsidR="00EB7191" w:rsidRPr="00CF3BA2">
        <w:rPr>
          <w:lang w:val="kk-KZ" w:eastAsia="ru-RU"/>
        </w:rPr>
        <w:lastRenderedPageBreak/>
        <w:t>барысында сақталатыны дәлелденді. Бұл ақпарат севеламер гидрохлориді пайдаланылған зерттеулерден алынды</w:t>
      </w:r>
      <w:r w:rsidR="00C3576F" w:rsidRPr="00CF3BA2">
        <w:rPr>
          <w:lang w:val="kk-KZ"/>
        </w:rPr>
        <w:t>.</w:t>
      </w:r>
    </w:p>
    <w:p w14:paraId="25E1D07F" w14:textId="04D8E363" w:rsidR="005245B3" w:rsidRPr="00CF3BA2" w:rsidRDefault="00EB7191">
      <w:pPr>
        <w:ind w:left="219"/>
        <w:rPr>
          <w:i/>
          <w:sz w:val="24"/>
          <w:szCs w:val="24"/>
          <w:lang w:val="kk-KZ"/>
        </w:rPr>
      </w:pPr>
      <w:r w:rsidRPr="00CF3BA2">
        <w:rPr>
          <w:i/>
          <w:spacing w:val="-4"/>
          <w:sz w:val="24"/>
          <w:szCs w:val="24"/>
          <w:lang w:val="kk-KZ"/>
        </w:rPr>
        <w:t>Балалар</w:t>
      </w:r>
    </w:p>
    <w:p w14:paraId="31F07CD3" w14:textId="210FE061" w:rsidR="005245B3" w:rsidRPr="00CF3BA2" w:rsidRDefault="00BD3468" w:rsidP="008724B7">
      <w:pPr>
        <w:pStyle w:val="a3"/>
        <w:ind w:right="223"/>
        <w:rPr>
          <w:lang w:val="kk-KZ"/>
        </w:rPr>
      </w:pPr>
      <w:r w:rsidRPr="00CF3BA2">
        <w:rPr>
          <w:lang w:val="kk-KZ" w:eastAsia="ru-RU"/>
        </w:rPr>
        <w:t>Гиперфосфатематикалық педиатриялық БСА бар пациенттерде севеламер карбонатының қауіпсіздігі мен тиімділігі төмендегідей бағаланды: бағалау 2 апталық рандомизацияланған плацебо-бақыланатын бекітілген дозалы кезеңмен (FDP), содан кейін 6 айлық, салыстырмалы емес, ашық дозаны титрлеу кезеңімен (ДТК) жүргізілді. Барлығы 101 пациент (6 жастан 18 жасқа дейінгі БСА диапазоны 0,8 м</w:t>
      </w:r>
      <w:r w:rsidRPr="00CF3BA2">
        <w:rPr>
          <w:vertAlign w:val="superscript"/>
          <w:lang w:val="kk-KZ" w:eastAsia="ru-RU"/>
        </w:rPr>
        <w:t>2</w:t>
      </w:r>
      <w:r w:rsidRPr="00CF3BA2">
        <w:rPr>
          <w:lang w:val="kk-KZ" w:eastAsia="ru-RU"/>
        </w:rPr>
        <w:t>-ден 2,4 м</w:t>
      </w:r>
      <w:r w:rsidRPr="00CF3BA2">
        <w:rPr>
          <w:vertAlign w:val="superscript"/>
          <w:lang w:val="kk-KZ" w:eastAsia="ru-RU"/>
        </w:rPr>
        <w:t>2</w:t>
      </w:r>
      <w:r w:rsidRPr="00CF3BA2">
        <w:rPr>
          <w:lang w:val="kk-KZ" w:eastAsia="ru-RU"/>
        </w:rPr>
        <w:t>-ге дейін) кездейсоқ таңдалды. Қырық тоғыз (49) пациент севеламер карбонатын алды және 51-і 2-апталық БДК кезінде плацебо алды. Осыдан кейін барлық пациенттер 26 апталық ДТК үшін севеламер карбонатын алды</w:t>
      </w:r>
      <w:r w:rsidR="00C3576F" w:rsidRPr="00CF3BA2">
        <w:rPr>
          <w:lang w:val="kk-KZ"/>
        </w:rPr>
        <w:t xml:space="preserve">. </w:t>
      </w:r>
      <w:r w:rsidR="00811552" w:rsidRPr="00CF3BA2">
        <w:rPr>
          <w:lang w:val="kk-KZ" w:eastAsia="ru-RU"/>
        </w:rPr>
        <w:t>Зерттеу өзінің бастапқы соңғы нүктесіне жетті, яғни севеламер карбонаты сарысулық фосфор мөлшерін плацебомен салыстырғанда орта есеппен 0,90 мг/дл азайтты, тиімділіктің екіншілік соңғы нүктелерінде де осындай жағдай байқалды. БСА-ға қатысты алғанда салдарлы гиперфосфатемиясы бар педиатриялық пациенттерде севеламер карбонаты 2 апталық БДК кезінде плацебомен салыстырғанда сарысулық фосфор деңгейін едәуір төмендеткен. Емдеуге жауап севеламер карбонатын 6 айлық ашық КДС кезінде алған педиатриялық пациенттерде сақталды</w:t>
      </w:r>
      <w:r w:rsidR="00C3576F" w:rsidRPr="00CF3BA2">
        <w:rPr>
          <w:lang w:val="kk-KZ"/>
        </w:rPr>
        <w:t xml:space="preserve">. </w:t>
      </w:r>
      <w:r w:rsidR="00CF4573" w:rsidRPr="00CF3BA2">
        <w:rPr>
          <w:lang w:val="kk-KZ" w:eastAsia="ru-RU"/>
        </w:rPr>
        <w:t>Педиатриялық пациенттердің 27%-ы емдеудің соңында сарысулық фосфордың өз жастарына сәйкес деңгейіне жетті. Бұл көрсеткіштер гемодиализ және перитонеалдық диализдегі пациенттердің қосалқы тобында сәйкесінше 23% және 15% құрады. 2 апталық FDP кезінде емдеуге жауап BSA әсер етпеді, алайда, контраст ретінде, фосфордың белгіленген мөлшері &lt;7,0 мг/дл болған педиатриялық пациенттерде емге ешқандай жауап байқалмады. Севеламер карбонатына қатысты немесе қатысты болуы мүмкін деген жағымсыз құбылыстардың көпшілігі табиғаты бойынша асқазан-ішектік болды. Севеламер карбонатын қолдану кезінде зерттеу барысында ешқандай жаңа қауіптер немесе қауіпсіздік сигналдары анықталмады</w:t>
      </w:r>
      <w:r w:rsidR="00C3576F" w:rsidRPr="00CF3BA2">
        <w:rPr>
          <w:lang w:val="kk-KZ"/>
        </w:rPr>
        <w:t>.</w:t>
      </w:r>
    </w:p>
    <w:p w14:paraId="71F17534" w14:textId="77777777" w:rsidR="005245B3" w:rsidRPr="00CF3BA2" w:rsidRDefault="005245B3">
      <w:pPr>
        <w:pStyle w:val="a3"/>
        <w:spacing w:before="6"/>
        <w:ind w:left="0"/>
        <w:jc w:val="left"/>
        <w:rPr>
          <w:lang w:val="kk-KZ"/>
        </w:rPr>
      </w:pPr>
    </w:p>
    <w:p w14:paraId="572A41D4" w14:textId="27FD597B" w:rsidR="005245B3" w:rsidRPr="00CF3BA2" w:rsidRDefault="00C3576F">
      <w:pPr>
        <w:pStyle w:val="2"/>
        <w:rPr>
          <w:lang w:val="kk-KZ"/>
        </w:rPr>
      </w:pPr>
      <w:r w:rsidRPr="00CF3BA2">
        <w:rPr>
          <w:lang w:val="kk-KZ"/>
        </w:rPr>
        <w:t>5.2</w:t>
      </w:r>
      <w:r w:rsidRPr="00CF3BA2">
        <w:rPr>
          <w:spacing w:val="-5"/>
          <w:lang w:val="kk-KZ"/>
        </w:rPr>
        <w:t xml:space="preserve"> </w:t>
      </w:r>
      <w:r w:rsidR="00CF4573" w:rsidRPr="00CF3BA2">
        <w:rPr>
          <w:lang w:val="kk-KZ"/>
        </w:rPr>
        <w:t>Фармакокинетикалық қасиеттері</w:t>
      </w:r>
    </w:p>
    <w:p w14:paraId="3C7975BA" w14:textId="77777777" w:rsidR="00DA1B98" w:rsidRPr="00CF3BA2" w:rsidRDefault="00DA1B98" w:rsidP="00DA1B98">
      <w:pPr>
        <w:pStyle w:val="a3"/>
        <w:ind w:right="231"/>
        <w:rPr>
          <w:lang w:val="kk-KZ"/>
        </w:rPr>
      </w:pPr>
      <w:r w:rsidRPr="00CF3BA2">
        <w:rPr>
          <w:lang w:val="kk-KZ"/>
        </w:rPr>
        <w:t>Севеламер карбонатының фармакокинетикасы бойынша зерттеулер жүргізілген жоқ. Севеламер карбонаты сияқты бірдей белсенді ингредиенті бар севеламер гидрохлориді асқазан-ішек жолында сіңбейді, бұл оның еріктілерде жүргізілген сіңуіне қатысты зерттеуде расталды.</w:t>
      </w:r>
    </w:p>
    <w:p w14:paraId="3A771870" w14:textId="1AA64101" w:rsidR="005245B3" w:rsidRPr="00CF3BA2" w:rsidRDefault="00DA1B98" w:rsidP="00DA1B98">
      <w:pPr>
        <w:pStyle w:val="a3"/>
        <w:ind w:right="231"/>
        <w:rPr>
          <w:lang w:val="kk-KZ"/>
        </w:rPr>
      </w:pPr>
      <w:r w:rsidRPr="00CF3BA2">
        <w:rPr>
          <w:lang w:val="kk-KZ"/>
        </w:rPr>
        <w:t>Жылдық клиникалық сынақ кезінде севеламердың жинақталуының ешбір белгілері табылған жоқ. Алайда, ұзаққа созылған емдеу кезінде (&gt; бір жыл) севеламердің әлеуетті сіңірілуі мен жинақталуын толығымен жоққа шығаруға болмайды</w:t>
      </w:r>
      <w:r w:rsidR="00C3576F" w:rsidRPr="00CF3BA2">
        <w:rPr>
          <w:lang w:val="kk-KZ"/>
        </w:rPr>
        <w:t>.</w:t>
      </w:r>
    </w:p>
    <w:p w14:paraId="05F16013" w14:textId="77777777" w:rsidR="005245B3" w:rsidRPr="00CF3BA2" w:rsidRDefault="005245B3">
      <w:pPr>
        <w:pStyle w:val="a3"/>
        <w:spacing w:before="2"/>
        <w:ind w:left="0"/>
        <w:jc w:val="left"/>
        <w:rPr>
          <w:lang w:val="kk-KZ"/>
        </w:rPr>
      </w:pPr>
    </w:p>
    <w:p w14:paraId="17FF7526" w14:textId="27F9886D" w:rsidR="005245B3" w:rsidRPr="00CF3BA2" w:rsidRDefault="00C3576F">
      <w:pPr>
        <w:pStyle w:val="2"/>
        <w:rPr>
          <w:lang w:val="kk-KZ"/>
        </w:rPr>
      </w:pPr>
      <w:r w:rsidRPr="00CF3BA2">
        <w:rPr>
          <w:lang w:val="kk-KZ"/>
        </w:rPr>
        <w:t>5.3.</w:t>
      </w:r>
      <w:r w:rsidRPr="00CF3BA2">
        <w:rPr>
          <w:spacing w:val="-2"/>
          <w:lang w:val="kk-KZ"/>
        </w:rPr>
        <w:t xml:space="preserve"> </w:t>
      </w:r>
      <w:r w:rsidR="00DA1B98" w:rsidRPr="00CF3BA2">
        <w:rPr>
          <w:lang w:val="kk-KZ"/>
        </w:rPr>
        <w:t>Клиникаға дейінгі қауіпсіздік деректері</w:t>
      </w:r>
    </w:p>
    <w:p w14:paraId="3E3DE7C8" w14:textId="47B02545" w:rsidR="005245B3" w:rsidRPr="00CF3BA2" w:rsidRDefault="00A30F65">
      <w:pPr>
        <w:pStyle w:val="a3"/>
        <w:ind w:right="228"/>
        <w:rPr>
          <w:lang w:val="kk-KZ"/>
        </w:rPr>
      </w:pPr>
      <w:r w:rsidRPr="00CF3BA2">
        <w:rPr>
          <w:iCs/>
          <w:lang w:val="kk-KZ" w:eastAsia="ru-RU"/>
        </w:rPr>
        <w:t>Фармакологиялық қауіпсіздікті, көп рет енгізген кездегі уыттылықты немесе гендік уыттылықты стандартты зерттеу нәтижелеріне сүйене отырып, адамдар үшін ерекше қауіпке қатысты севеламер үшін клиникалық деректер анықталған жоқ</w:t>
      </w:r>
      <w:r w:rsidR="00C3576F" w:rsidRPr="00CF3BA2">
        <w:rPr>
          <w:spacing w:val="-2"/>
          <w:lang w:val="kk-KZ"/>
        </w:rPr>
        <w:t>.</w:t>
      </w:r>
    </w:p>
    <w:p w14:paraId="67F1A73D" w14:textId="3FE97365" w:rsidR="005245B3" w:rsidRPr="00CF3BA2" w:rsidRDefault="002C732A">
      <w:pPr>
        <w:pStyle w:val="a3"/>
        <w:ind w:right="222"/>
        <w:rPr>
          <w:lang w:val="kk-KZ"/>
        </w:rPr>
      </w:pPr>
      <w:r w:rsidRPr="00CF3BA2">
        <w:rPr>
          <w:iCs/>
          <w:lang w:val="kk-KZ" w:eastAsia="ru-RU"/>
        </w:rPr>
        <w:t>Севеламер гидрохлоридін пероральді қабылдау кезінде канцерогенділікті зерттеу тышқандарда (тәулігіне 9 г/кг дейінгі дозалар) және егеуқұйрықтарда (тәулігіне 0,3, 1 немесе 3 г/кг) жүргізілді. Жоғары дозалы топтың еркек егеуқұйрықтарында «өтпелі» қуық жасушасының папилломасымен ау</w:t>
      </w:r>
      <w:r w:rsidR="00147196" w:rsidRPr="00CF3BA2">
        <w:rPr>
          <w:iCs/>
          <w:lang w:val="kk-KZ" w:eastAsia="ru-RU"/>
        </w:rPr>
        <w:t>ы</w:t>
      </w:r>
      <w:r w:rsidRPr="00CF3BA2">
        <w:rPr>
          <w:iCs/>
          <w:lang w:val="kk-KZ" w:eastAsia="ru-RU"/>
        </w:rPr>
        <w:t>рудың жоғарылауы байқалды (адамдар үшін баламалы доза 14,4 г ең жоғары клиникалық сынақ дозасынан екі есе көп). Тышқандарда бақыланған ісіктің пайда болу жиілігінің ешқандай артуы  болмады (адамдар үшін баламалы дозасы ең жоғары клиникалық сынақ дозасынан 3 есе көп)</w:t>
      </w:r>
      <w:r w:rsidR="00C3576F" w:rsidRPr="00CF3BA2">
        <w:rPr>
          <w:lang w:val="kk-KZ"/>
        </w:rPr>
        <w:t>.</w:t>
      </w:r>
    </w:p>
    <w:p w14:paraId="4872BAC9" w14:textId="38EE29D7" w:rsidR="003B2E89" w:rsidRPr="00CF3BA2" w:rsidRDefault="003B2E89">
      <w:pPr>
        <w:pStyle w:val="a3"/>
        <w:ind w:right="222"/>
        <w:rPr>
          <w:lang w:val="kk-KZ"/>
        </w:rPr>
      </w:pPr>
      <w:r w:rsidRPr="00CF3BA2">
        <w:rPr>
          <w:iCs/>
          <w:lang w:val="kk-KZ" w:eastAsia="ru-RU"/>
        </w:rPr>
        <w:t xml:space="preserve">Сүтқоректілерде метаболизмдік белсенділікпен </w:t>
      </w:r>
      <w:r w:rsidRPr="00CF3BA2">
        <w:rPr>
          <w:i/>
          <w:lang w:val="kk-KZ" w:eastAsia="ru-RU"/>
        </w:rPr>
        <w:t>in vitro</w:t>
      </w:r>
      <w:r w:rsidRPr="00CF3BA2">
        <w:rPr>
          <w:iCs/>
          <w:lang w:val="kk-KZ" w:eastAsia="ru-RU"/>
        </w:rPr>
        <w:t xml:space="preserve"> цитогенетикалық тестте севеламер гидрохлориді құрылымдық хромосомалық аберрациялар санының статистикалық маңызды ұлғаюын туғызды. Севеламер гидрохлориді Эймстың бактериялық мутация талдауында мутагенді болған жоқ. Егеуқұйрықтар мен иттерде севеламер майда еритін D, E және K дәрумендерінің (қанның ұю факторлары), сондай-ақ фолий қышқылының сіңуін азайтады.</w:t>
      </w:r>
    </w:p>
    <w:p w14:paraId="0A151ADD" w14:textId="10E018DF" w:rsidR="005245B3" w:rsidRPr="00CF3BA2" w:rsidRDefault="0019544F">
      <w:pPr>
        <w:pStyle w:val="a3"/>
        <w:ind w:right="223"/>
        <w:rPr>
          <w:lang w:val="kk-KZ"/>
        </w:rPr>
      </w:pPr>
      <w:r w:rsidRPr="00CF3BA2">
        <w:rPr>
          <w:rFonts w:eastAsiaTheme="minorHAnsi"/>
          <w:lang w:val="kk-KZ"/>
        </w:rPr>
        <w:t xml:space="preserve">Қаңқаның сүйектену тапшылығы севеламер препаратының аралық және жоғары дозаларын алған ұрғашы егеуқұйрықтардың эмбриондарында бірнеше жерде байқалды </w:t>
      </w:r>
      <w:r w:rsidRPr="00CF3BA2">
        <w:rPr>
          <w:rFonts w:eastAsiaTheme="minorHAnsi"/>
          <w:lang w:val="kk-KZ"/>
        </w:rPr>
        <w:lastRenderedPageBreak/>
        <w:t>(адамдар үшін баламалы доза ең жоғары клиникалық 14,4 г сынақ дозасынан аз). Бұл нәтижелер D дәруменінің сарқылуына қатысты салдарлы болуы мүмкін</w:t>
      </w:r>
      <w:r w:rsidR="00C3576F" w:rsidRPr="00CF3BA2">
        <w:rPr>
          <w:spacing w:val="-6"/>
          <w:lang w:val="kk-KZ"/>
        </w:rPr>
        <w:t>.</w:t>
      </w:r>
    </w:p>
    <w:p w14:paraId="66B43FCA" w14:textId="32734F25" w:rsidR="005245B3" w:rsidRPr="00CF3BA2" w:rsidRDefault="007E69D2">
      <w:pPr>
        <w:pStyle w:val="a3"/>
        <w:ind w:right="224"/>
        <w:rPr>
          <w:lang w:val="kk-KZ"/>
        </w:rPr>
      </w:pPr>
      <w:r w:rsidRPr="00CF3BA2">
        <w:rPr>
          <w:iCs/>
          <w:lang w:val="kk-KZ" w:eastAsia="ru-RU"/>
        </w:rPr>
        <w:t>Севеламер гидрохлоридінің пероральді дозаларын гаваж жолымен органогенез кезеңінде алатын буаз үй қояндарында жоғары дозалы топта ерте резорбциялардың артуы байқалады (адамдар үшін баламалы дозасы ең жоғары клиникалық сынақ дозасынан екі есе көп болды)</w:t>
      </w:r>
      <w:r w:rsidR="00C3576F" w:rsidRPr="00CF3BA2">
        <w:rPr>
          <w:lang w:val="kk-KZ"/>
        </w:rPr>
        <w:t>.</w:t>
      </w:r>
    </w:p>
    <w:p w14:paraId="7B8F4BA9" w14:textId="28ECBDFB" w:rsidR="005245B3" w:rsidRPr="00CF3BA2" w:rsidRDefault="005967D0" w:rsidP="008724B7">
      <w:pPr>
        <w:pStyle w:val="a3"/>
        <w:ind w:right="227"/>
        <w:rPr>
          <w:lang w:val="kk-KZ"/>
        </w:rPr>
      </w:pPr>
      <w:r w:rsidRPr="00CF3BA2">
        <w:rPr>
          <w:iCs/>
          <w:lang w:val="kk-KZ" w:eastAsia="ru-RU"/>
        </w:rPr>
        <w:t>Севеламер гидрохлориді диеталық енгізуді зерттеуде егеуқұйрықтардың еркектері мен ұрғашыларының фертильділігіне ықпал етпеді, онда ұрғашылары шағылысуға дейінгі 14 күннен жүктілік кезеңі арқылы емделді және еркектері шағылысуға дейін 28 күн бұрын емделді. Бұл зерттеудегі ең жоғары доза тәулігіне 4,5 г/кг құрады (тиісті БСA-мен салыстырғанда адамға арналған баламалы дозасы тәулігіне 13 г ең жоғары клиникалық сынақ дозасынан 2 есе көп)</w:t>
      </w:r>
      <w:r w:rsidR="00C3576F" w:rsidRPr="00CF3BA2">
        <w:rPr>
          <w:lang w:val="kk-KZ"/>
        </w:rPr>
        <w:t>.</w:t>
      </w:r>
    </w:p>
    <w:p w14:paraId="43567F57" w14:textId="77777777" w:rsidR="005245B3" w:rsidRPr="00CF3BA2" w:rsidRDefault="005245B3">
      <w:pPr>
        <w:pStyle w:val="a3"/>
        <w:spacing w:before="2"/>
        <w:ind w:left="0"/>
        <w:jc w:val="left"/>
        <w:rPr>
          <w:lang w:val="kk-KZ"/>
        </w:rPr>
      </w:pPr>
    </w:p>
    <w:p w14:paraId="68600AA3" w14:textId="727F105E" w:rsidR="005245B3" w:rsidRPr="00CF3BA2" w:rsidRDefault="005967D0">
      <w:pPr>
        <w:pStyle w:val="1"/>
        <w:numPr>
          <w:ilvl w:val="0"/>
          <w:numId w:val="3"/>
        </w:numPr>
        <w:tabs>
          <w:tab w:val="left" w:pos="461"/>
        </w:tabs>
        <w:ind w:left="460" w:hanging="242"/>
        <w:rPr>
          <w:lang w:val="kk-KZ"/>
        </w:rPr>
      </w:pPr>
      <w:r w:rsidRPr="00CF3BA2">
        <w:rPr>
          <w:lang w:val="kk-KZ"/>
        </w:rPr>
        <w:t>ФАРМАЦЕВТИКАЛЫҚ ҚАСИЕТТЕРІ</w:t>
      </w:r>
    </w:p>
    <w:p w14:paraId="47850DD8" w14:textId="6D6D5F27" w:rsidR="005245B3" w:rsidRPr="00CF3BA2" w:rsidRDefault="005967D0">
      <w:pPr>
        <w:pStyle w:val="2"/>
        <w:numPr>
          <w:ilvl w:val="1"/>
          <w:numId w:val="2"/>
        </w:numPr>
        <w:tabs>
          <w:tab w:val="left" w:pos="643"/>
        </w:tabs>
        <w:spacing w:line="274" w:lineRule="exact"/>
        <w:ind w:hanging="424"/>
        <w:rPr>
          <w:lang w:val="kk-KZ"/>
        </w:rPr>
      </w:pPr>
      <w:r w:rsidRPr="00CF3BA2">
        <w:rPr>
          <w:lang w:val="kk-KZ"/>
        </w:rPr>
        <w:t>Қосымша заттар тізбесі</w:t>
      </w:r>
    </w:p>
    <w:p w14:paraId="06D66E34" w14:textId="77777777" w:rsidR="005C4CDE" w:rsidRPr="00CF3BA2" w:rsidRDefault="005C4CDE" w:rsidP="0047700E">
      <w:pPr>
        <w:spacing w:before="3"/>
        <w:ind w:left="221" w:right="4026"/>
        <w:rPr>
          <w:sz w:val="24"/>
          <w:szCs w:val="24"/>
          <w:lang w:val="kk-KZ"/>
        </w:rPr>
      </w:pPr>
      <w:r w:rsidRPr="00CF3BA2">
        <w:rPr>
          <w:sz w:val="24"/>
          <w:szCs w:val="24"/>
          <w:lang w:val="kk-KZ"/>
        </w:rPr>
        <w:t>Коповидон (Koллидон VA64)</w:t>
      </w:r>
    </w:p>
    <w:p w14:paraId="35908CC7" w14:textId="0791FE53" w:rsidR="0047700E" w:rsidRPr="00CF3BA2" w:rsidRDefault="0047700E" w:rsidP="0047700E">
      <w:pPr>
        <w:spacing w:before="3"/>
        <w:ind w:left="221" w:right="4026"/>
        <w:rPr>
          <w:sz w:val="24"/>
          <w:szCs w:val="24"/>
          <w:lang w:val="kk-KZ"/>
        </w:rPr>
      </w:pPr>
      <w:r w:rsidRPr="00CF3BA2">
        <w:rPr>
          <w:sz w:val="24"/>
          <w:szCs w:val="24"/>
          <w:lang w:val="kk-KZ"/>
        </w:rPr>
        <w:t>Гидроксипропилцеллюлоза (Клюцел НХF)</w:t>
      </w:r>
    </w:p>
    <w:p w14:paraId="07BDDFFF" w14:textId="58E72756" w:rsidR="0047700E" w:rsidRPr="00CF3BA2" w:rsidRDefault="005967D0" w:rsidP="005967D0">
      <w:pPr>
        <w:rPr>
          <w:sz w:val="24"/>
          <w:szCs w:val="24"/>
          <w:lang w:val="kk-KZ"/>
        </w:rPr>
      </w:pPr>
      <w:r w:rsidRPr="00CF3BA2">
        <w:rPr>
          <w:sz w:val="24"/>
          <w:szCs w:val="24"/>
          <w:lang w:val="kk-KZ"/>
        </w:rPr>
        <w:t xml:space="preserve">   М</w:t>
      </w:r>
      <w:r w:rsidR="0047700E" w:rsidRPr="00CF3BA2">
        <w:rPr>
          <w:sz w:val="24"/>
          <w:szCs w:val="24"/>
          <w:lang w:val="kk-KZ"/>
        </w:rPr>
        <w:t>икрокристал</w:t>
      </w:r>
      <w:r w:rsidRPr="00CF3BA2">
        <w:rPr>
          <w:sz w:val="24"/>
          <w:szCs w:val="24"/>
          <w:lang w:val="kk-KZ"/>
        </w:rPr>
        <w:t xml:space="preserve">ды целлюлоза </w:t>
      </w:r>
      <w:r w:rsidR="0047700E" w:rsidRPr="00CF3BA2">
        <w:rPr>
          <w:sz w:val="24"/>
          <w:szCs w:val="24"/>
          <w:lang w:val="kk-KZ"/>
        </w:rPr>
        <w:t>(Авицел РН-05)</w:t>
      </w:r>
    </w:p>
    <w:p w14:paraId="1A46DD61" w14:textId="7603650D" w:rsidR="0047700E" w:rsidRPr="00CF3BA2" w:rsidRDefault="005967D0" w:rsidP="005967D0">
      <w:pPr>
        <w:spacing w:before="3"/>
        <w:ind w:left="221" w:right="174"/>
        <w:rPr>
          <w:sz w:val="24"/>
          <w:szCs w:val="24"/>
          <w:lang w:val="kk-KZ"/>
        </w:rPr>
      </w:pPr>
      <w:r w:rsidRPr="00CF3BA2">
        <w:rPr>
          <w:sz w:val="24"/>
          <w:szCs w:val="24"/>
          <w:lang w:val="kk-KZ"/>
        </w:rPr>
        <w:t xml:space="preserve">Коллоидты кремнийдің қостотығы </w:t>
      </w:r>
      <w:r w:rsidR="0047700E" w:rsidRPr="00CF3BA2">
        <w:rPr>
          <w:sz w:val="24"/>
          <w:szCs w:val="24"/>
          <w:lang w:val="kk-KZ"/>
        </w:rPr>
        <w:t>(Аэросил 200)</w:t>
      </w:r>
    </w:p>
    <w:p w14:paraId="74741709" w14:textId="730CC41F" w:rsidR="00321AC2" w:rsidRPr="00CF3BA2" w:rsidRDefault="0047700E" w:rsidP="0047700E">
      <w:pPr>
        <w:spacing w:before="3"/>
        <w:ind w:left="221" w:right="4026"/>
        <w:rPr>
          <w:sz w:val="24"/>
          <w:szCs w:val="24"/>
          <w:lang w:val="kk-KZ"/>
        </w:rPr>
      </w:pPr>
      <w:r w:rsidRPr="00CF3BA2">
        <w:rPr>
          <w:sz w:val="24"/>
          <w:szCs w:val="24"/>
          <w:lang w:val="kk-KZ"/>
        </w:rPr>
        <w:t>Натри</w:t>
      </w:r>
      <w:r w:rsidR="005967D0" w:rsidRPr="00CF3BA2">
        <w:rPr>
          <w:sz w:val="24"/>
          <w:szCs w:val="24"/>
          <w:lang w:val="kk-KZ"/>
        </w:rPr>
        <w:t>й</w:t>
      </w:r>
      <w:r w:rsidRPr="00CF3BA2">
        <w:rPr>
          <w:sz w:val="24"/>
          <w:szCs w:val="24"/>
          <w:lang w:val="kk-KZ"/>
        </w:rPr>
        <w:t xml:space="preserve"> стеарил фумарат</w:t>
      </w:r>
      <w:r w:rsidR="005967D0" w:rsidRPr="00CF3BA2">
        <w:rPr>
          <w:sz w:val="24"/>
          <w:szCs w:val="24"/>
          <w:lang w:val="kk-KZ"/>
        </w:rPr>
        <w:t>ы</w:t>
      </w:r>
      <w:r w:rsidR="00C3576F" w:rsidRPr="00CF3BA2">
        <w:rPr>
          <w:sz w:val="24"/>
          <w:szCs w:val="24"/>
          <w:lang w:val="kk-KZ"/>
        </w:rPr>
        <w:t xml:space="preserve"> </w:t>
      </w:r>
    </w:p>
    <w:p w14:paraId="4296DA1E" w14:textId="6BEE31CB" w:rsidR="0047700E" w:rsidRPr="00CF3BA2" w:rsidRDefault="005967D0" w:rsidP="0047700E">
      <w:pPr>
        <w:spacing w:before="3"/>
        <w:ind w:left="221" w:right="4026"/>
        <w:rPr>
          <w:sz w:val="24"/>
          <w:szCs w:val="24"/>
          <w:lang w:val="kk-KZ"/>
        </w:rPr>
      </w:pPr>
      <w:r w:rsidRPr="00CF3BA2">
        <w:rPr>
          <w:sz w:val="24"/>
          <w:szCs w:val="24"/>
          <w:lang w:val="kk-KZ"/>
        </w:rPr>
        <w:t>Тазартылған су</w:t>
      </w:r>
    </w:p>
    <w:p w14:paraId="61AC7B13" w14:textId="3293F32E" w:rsidR="005C4CDE" w:rsidRPr="00CF3BA2" w:rsidRDefault="005967D0">
      <w:pPr>
        <w:pStyle w:val="a3"/>
        <w:spacing w:line="274" w:lineRule="exact"/>
        <w:jc w:val="left"/>
        <w:rPr>
          <w:i/>
          <w:iCs/>
          <w:lang w:val="kk-KZ"/>
        </w:rPr>
      </w:pPr>
      <w:r w:rsidRPr="00CF3BA2">
        <w:rPr>
          <w:i/>
          <w:iCs/>
          <w:lang w:val="kk-KZ"/>
        </w:rPr>
        <w:t>Үлбірлі жабын</w:t>
      </w:r>
    </w:p>
    <w:p w14:paraId="2CD8474E" w14:textId="7CDDB31A" w:rsidR="005245B3" w:rsidRPr="00CF3BA2" w:rsidRDefault="00C3576F" w:rsidP="005C4CDE">
      <w:pPr>
        <w:pStyle w:val="a3"/>
        <w:spacing w:line="274" w:lineRule="exact"/>
        <w:jc w:val="left"/>
        <w:rPr>
          <w:lang w:val="kk-KZ"/>
        </w:rPr>
      </w:pPr>
      <w:r w:rsidRPr="00CF3BA2">
        <w:rPr>
          <w:lang w:val="kk-KZ"/>
        </w:rPr>
        <w:t>Опадрай</w:t>
      </w:r>
      <w:r w:rsidRPr="00CF3BA2">
        <w:rPr>
          <w:spacing w:val="-3"/>
          <w:lang w:val="kk-KZ"/>
        </w:rPr>
        <w:t xml:space="preserve"> </w:t>
      </w:r>
      <w:r w:rsidR="005967D0" w:rsidRPr="00CF3BA2">
        <w:rPr>
          <w:spacing w:val="-2"/>
          <w:lang w:val="kk-KZ"/>
        </w:rPr>
        <w:t>ақ</w:t>
      </w:r>
      <w:r w:rsidR="0047700E" w:rsidRPr="00CF3BA2">
        <w:rPr>
          <w:spacing w:val="-2"/>
          <w:lang w:val="kk-KZ"/>
        </w:rPr>
        <w:t xml:space="preserve"> 20F580006</w:t>
      </w:r>
      <w:r w:rsidR="005C4CDE" w:rsidRPr="00CF3BA2">
        <w:rPr>
          <w:spacing w:val="-2"/>
          <w:lang w:val="kk-KZ"/>
        </w:rPr>
        <w:t xml:space="preserve"> (</w:t>
      </w:r>
      <w:r w:rsidR="0047700E" w:rsidRPr="00CF3BA2">
        <w:rPr>
          <w:lang w:val="kk-KZ"/>
        </w:rPr>
        <w:t>гипромеллоза 2910 6 мПа·с, гидроксипропил-целлюлоза 90000, макрогол/ПЭГ 6000, гипромеллоза 2910 15 мПа·с, титан</w:t>
      </w:r>
      <w:r w:rsidR="005967D0" w:rsidRPr="00CF3BA2">
        <w:rPr>
          <w:lang w:val="kk-KZ"/>
        </w:rPr>
        <w:t>ның</w:t>
      </w:r>
      <w:r w:rsidR="0047700E" w:rsidRPr="00CF3BA2">
        <w:rPr>
          <w:lang w:val="kk-KZ"/>
        </w:rPr>
        <w:t xml:space="preserve"> </w:t>
      </w:r>
      <w:r w:rsidR="005967D0" w:rsidRPr="00CF3BA2">
        <w:rPr>
          <w:lang w:val="kk-KZ"/>
        </w:rPr>
        <w:t>қостотығы</w:t>
      </w:r>
      <w:r w:rsidR="0047700E" w:rsidRPr="00CF3BA2">
        <w:rPr>
          <w:lang w:val="kk-KZ"/>
        </w:rPr>
        <w:t xml:space="preserve"> (Е 171), </w:t>
      </w:r>
      <w:r w:rsidR="005967D0" w:rsidRPr="00CF3BA2">
        <w:rPr>
          <w:lang w:val="kk-KZ"/>
        </w:rPr>
        <w:t>тазартылған су</w:t>
      </w:r>
      <w:r w:rsidR="005C4CDE" w:rsidRPr="00CF3BA2">
        <w:rPr>
          <w:lang w:val="kk-KZ"/>
        </w:rPr>
        <w:t>)</w:t>
      </w:r>
    </w:p>
    <w:p w14:paraId="50BB5838" w14:textId="67F67418" w:rsidR="00BF3F53" w:rsidRPr="00CF3BA2" w:rsidRDefault="0047700E">
      <w:pPr>
        <w:pStyle w:val="a3"/>
        <w:spacing w:before="3"/>
        <w:ind w:right="241"/>
        <w:rPr>
          <w:lang w:val="kk-KZ"/>
        </w:rPr>
      </w:pPr>
      <w:r w:rsidRPr="00CF3BA2">
        <w:rPr>
          <w:lang w:val="kk-KZ"/>
        </w:rPr>
        <w:t xml:space="preserve"> </w:t>
      </w:r>
    </w:p>
    <w:p w14:paraId="00345208" w14:textId="165663AC" w:rsidR="005245B3" w:rsidRPr="00CF3BA2" w:rsidRDefault="005967D0">
      <w:pPr>
        <w:pStyle w:val="2"/>
        <w:numPr>
          <w:ilvl w:val="1"/>
          <w:numId w:val="2"/>
        </w:numPr>
        <w:tabs>
          <w:tab w:val="left" w:pos="643"/>
        </w:tabs>
        <w:spacing w:before="2"/>
        <w:ind w:hanging="424"/>
        <w:rPr>
          <w:lang w:val="kk-KZ"/>
        </w:rPr>
      </w:pPr>
      <w:r w:rsidRPr="00CF3BA2">
        <w:rPr>
          <w:spacing w:val="-2"/>
          <w:lang w:val="kk-KZ"/>
        </w:rPr>
        <w:t>Үйлесімсіздік</w:t>
      </w:r>
    </w:p>
    <w:p w14:paraId="723BB673" w14:textId="17430FF1" w:rsidR="005245B3" w:rsidRPr="00CF3BA2" w:rsidRDefault="005967D0">
      <w:pPr>
        <w:pStyle w:val="a3"/>
        <w:spacing w:line="275" w:lineRule="exact"/>
        <w:rPr>
          <w:lang w:val="kk-KZ"/>
        </w:rPr>
      </w:pPr>
      <w:r w:rsidRPr="00CF3BA2">
        <w:rPr>
          <w:lang w:val="kk-KZ"/>
        </w:rPr>
        <w:t>Қатысты емес</w:t>
      </w:r>
    </w:p>
    <w:p w14:paraId="77D346CC" w14:textId="7F912492" w:rsidR="005245B3" w:rsidRPr="00CF3BA2" w:rsidRDefault="005967D0">
      <w:pPr>
        <w:pStyle w:val="2"/>
        <w:numPr>
          <w:ilvl w:val="1"/>
          <w:numId w:val="1"/>
        </w:numPr>
        <w:tabs>
          <w:tab w:val="left" w:pos="585"/>
        </w:tabs>
        <w:spacing w:before="3"/>
        <w:rPr>
          <w:lang w:val="kk-KZ"/>
        </w:rPr>
      </w:pPr>
      <w:r w:rsidRPr="00CF3BA2">
        <w:rPr>
          <w:spacing w:val="-2"/>
          <w:lang w:val="kk-KZ"/>
        </w:rPr>
        <w:t>Жарамдылық мерзімі</w:t>
      </w:r>
    </w:p>
    <w:p w14:paraId="7F4FF36C" w14:textId="22B0DFF1" w:rsidR="005245B3" w:rsidRPr="00CF3BA2" w:rsidRDefault="00C3576F">
      <w:pPr>
        <w:pStyle w:val="a3"/>
        <w:spacing w:line="274" w:lineRule="exact"/>
        <w:rPr>
          <w:lang w:val="kk-KZ"/>
        </w:rPr>
      </w:pPr>
      <w:r w:rsidRPr="00CF3BA2">
        <w:rPr>
          <w:lang w:val="kk-KZ"/>
        </w:rPr>
        <w:t>3</w:t>
      </w:r>
      <w:r w:rsidRPr="00CF3BA2">
        <w:rPr>
          <w:spacing w:val="2"/>
          <w:lang w:val="kk-KZ"/>
        </w:rPr>
        <w:t xml:space="preserve"> </w:t>
      </w:r>
      <w:r w:rsidR="005967D0" w:rsidRPr="00CF3BA2">
        <w:rPr>
          <w:spacing w:val="-4"/>
          <w:lang w:val="kk-KZ"/>
        </w:rPr>
        <w:t>жыл</w:t>
      </w:r>
    </w:p>
    <w:p w14:paraId="393A650E" w14:textId="5D57ECED" w:rsidR="005245B3" w:rsidRPr="00CF3BA2" w:rsidRDefault="005967D0">
      <w:pPr>
        <w:pStyle w:val="a3"/>
        <w:spacing w:line="275" w:lineRule="exact"/>
        <w:rPr>
          <w:lang w:val="kk-KZ"/>
        </w:rPr>
      </w:pPr>
      <w:r w:rsidRPr="00CF3BA2">
        <w:rPr>
          <w:lang w:val="kk-KZ"/>
        </w:rPr>
        <w:t>Жарамдылық мерзімі өткеннен кейін қолдануға болмайды</w:t>
      </w:r>
      <w:r w:rsidR="00C3576F" w:rsidRPr="00CF3BA2">
        <w:rPr>
          <w:spacing w:val="-2"/>
          <w:lang w:val="kk-KZ"/>
        </w:rPr>
        <w:t>.</w:t>
      </w:r>
    </w:p>
    <w:p w14:paraId="10439671" w14:textId="5B6EA822" w:rsidR="005245B3" w:rsidRPr="00CF3BA2" w:rsidRDefault="005967D0">
      <w:pPr>
        <w:pStyle w:val="2"/>
        <w:numPr>
          <w:ilvl w:val="1"/>
          <w:numId w:val="1"/>
        </w:numPr>
        <w:tabs>
          <w:tab w:val="left" w:pos="585"/>
        </w:tabs>
        <w:spacing w:before="7" w:line="273" w:lineRule="exact"/>
        <w:rPr>
          <w:lang w:val="kk-KZ"/>
        </w:rPr>
      </w:pPr>
      <w:r w:rsidRPr="00CF3BA2">
        <w:rPr>
          <w:lang w:val="kk-KZ"/>
        </w:rPr>
        <w:t>Сақтау кезіндегі айрықша сақтандыру шаралары</w:t>
      </w:r>
    </w:p>
    <w:p w14:paraId="61F7720B" w14:textId="6392128F" w:rsidR="005967D0" w:rsidRPr="00CF3BA2" w:rsidRDefault="005967D0" w:rsidP="005967D0">
      <w:pPr>
        <w:rPr>
          <w:sz w:val="24"/>
          <w:szCs w:val="24"/>
          <w:lang w:val="kk-KZ"/>
        </w:rPr>
      </w:pPr>
      <w:r w:rsidRPr="00CF3BA2">
        <w:rPr>
          <w:sz w:val="24"/>
          <w:szCs w:val="24"/>
          <w:lang w:val="kk-KZ"/>
        </w:rPr>
        <w:t xml:space="preserve">    25 </w:t>
      </w:r>
      <w:r w:rsidRPr="00CF3BA2">
        <w:rPr>
          <w:iCs/>
          <w:sz w:val="24"/>
          <w:szCs w:val="24"/>
          <w:lang w:val="kk-KZ"/>
        </w:rPr>
        <w:t xml:space="preserve">°С-ден аспайтын </w:t>
      </w:r>
      <w:r w:rsidRPr="00CF3BA2">
        <w:rPr>
          <w:sz w:val="24"/>
          <w:szCs w:val="24"/>
          <w:lang w:val="kk-KZ"/>
        </w:rPr>
        <w:t>температурада сақтау керек</w:t>
      </w:r>
      <w:r w:rsidR="00C3576F" w:rsidRPr="00CF3BA2">
        <w:rPr>
          <w:sz w:val="24"/>
          <w:szCs w:val="24"/>
          <w:lang w:val="kk-KZ"/>
        </w:rPr>
        <w:t xml:space="preserve">. </w:t>
      </w:r>
    </w:p>
    <w:p w14:paraId="0BEF240D" w14:textId="190E9729" w:rsidR="005245B3" w:rsidRPr="00CF3BA2" w:rsidRDefault="005967D0" w:rsidP="005967D0">
      <w:pPr>
        <w:rPr>
          <w:sz w:val="24"/>
          <w:szCs w:val="24"/>
          <w:lang w:val="kk-KZ"/>
        </w:rPr>
      </w:pPr>
      <w:r w:rsidRPr="00CF3BA2">
        <w:rPr>
          <w:sz w:val="24"/>
          <w:szCs w:val="24"/>
          <w:lang w:val="kk-KZ"/>
        </w:rPr>
        <w:t xml:space="preserve">    Балалардың қолы жетпейтін жерде сақтау керек</w:t>
      </w:r>
      <w:r w:rsidR="00C3576F" w:rsidRPr="00CF3BA2">
        <w:rPr>
          <w:sz w:val="24"/>
          <w:szCs w:val="24"/>
          <w:lang w:val="kk-KZ"/>
        </w:rPr>
        <w:t>!</w:t>
      </w:r>
    </w:p>
    <w:p w14:paraId="7046C6A2" w14:textId="5CB68C86" w:rsidR="005245B3" w:rsidRPr="00CF3BA2" w:rsidRDefault="005967D0">
      <w:pPr>
        <w:pStyle w:val="2"/>
        <w:numPr>
          <w:ilvl w:val="1"/>
          <w:numId w:val="1"/>
        </w:numPr>
        <w:tabs>
          <w:tab w:val="left" w:pos="581"/>
        </w:tabs>
        <w:spacing w:before="7" w:line="273" w:lineRule="exact"/>
        <w:ind w:left="580" w:hanging="362"/>
        <w:rPr>
          <w:lang w:val="kk-KZ"/>
        </w:rPr>
      </w:pPr>
      <w:bookmarkStart w:id="3" w:name="_GoBack"/>
      <w:r w:rsidRPr="00CF3BA2">
        <w:rPr>
          <w:lang w:val="kk-KZ"/>
        </w:rPr>
        <w:t>Шығарылу түрі және қаптамасы</w:t>
      </w:r>
    </w:p>
    <w:p w14:paraId="382DF52D" w14:textId="2C881154" w:rsidR="003D29FC" w:rsidRPr="00CF3BA2" w:rsidRDefault="003D29FC" w:rsidP="003D29FC">
      <w:pPr>
        <w:pStyle w:val="a3"/>
        <w:spacing w:line="242" w:lineRule="auto"/>
        <w:rPr>
          <w:lang w:val="kk-KZ"/>
        </w:rPr>
      </w:pPr>
      <w:r w:rsidRPr="00CF3BA2">
        <w:rPr>
          <w:lang w:val="kk-KZ"/>
        </w:rPr>
        <w:t xml:space="preserve">180 таблеткадан балалардан қорғанысы бар полипропиленді бұралатын қақпақшамен жабылған тығыздығы жоғары полиэтиленнен жасалған құтыда. </w:t>
      </w:r>
    </w:p>
    <w:bookmarkEnd w:id="3"/>
    <w:p w14:paraId="218A0FC5" w14:textId="56238A93" w:rsidR="005245B3" w:rsidRPr="00CF3BA2" w:rsidRDefault="003D29FC" w:rsidP="003D29FC">
      <w:pPr>
        <w:pStyle w:val="a3"/>
        <w:spacing w:line="242" w:lineRule="auto"/>
        <w:rPr>
          <w:lang w:val="kk-KZ"/>
        </w:rPr>
      </w:pPr>
      <w:r w:rsidRPr="00CF3BA2">
        <w:rPr>
          <w:lang w:val="kk-KZ"/>
        </w:rPr>
        <w:t>1 құтыдан медициналық қолдану жөніндегі қазақ және орыс тілдеріндегі нұсқаулықпен бірге картон қорапшаға салынады</w:t>
      </w:r>
      <w:r w:rsidR="001E486D" w:rsidRPr="00CF3BA2">
        <w:rPr>
          <w:lang w:val="kk-KZ"/>
        </w:rPr>
        <w:t>.</w:t>
      </w:r>
    </w:p>
    <w:p w14:paraId="488BB841" w14:textId="549F289F" w:rsidR="005245B3" w:rsidRPr="00CF3BA2" w:rsidRDefault="003D29FC">
      <w:pPr>
        <w:pStyle w:val="2"/>
        <w:numPr>
          <w:ilvl w:val="1"/>
          <w:numId w:val="1"/>
        </w:numPr>
        <w:tabs>
          <w:tab w:val="left" w:pos="792"/>
        </w:tabs>
        <w:spacing w:line="240" w:lineRule="auto"/>
        <w:ind w:left="219" w:right="223" w:firstLine="0"/>
        <w:rPr>
          <w:lang w:val="kk-KZ"/>
        </w:rPr>
      </w:pPr>
      <w:r w:rsidRPr="00CF3BA2">
        <w:rPr>
          <w:lang w:val="kk-KZ"/>
        </w:rPr>
        <w:t>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сақтандыру шаралары</w:t>
      </w:r>
    </w:p>
    <w:p w14:paraId="33287E97" w14:textId="6700402D" w:rsidR="005245B3" w:rsidRPr="00CF3BA2" w:rsidRDefault="00ED3238">
      <w:pPr>
        <w:pStyle w:val="a3"/>
        <w:spacing w:line="237" w:lineRule="auto"/>
        <w:ind w:right="228"/>
        <w:rPr>
          <w:lang w:val="kk-KZ"/>
        </w:rPr>
      </w:pPr>
      <w:r w:rsidRPr="00CF3BA2">
        <w:rPr>
          <w:bCs/>
          <w:iCs/>
          <w:lang w:val="kk-KZ"/>
        </w:rPr>
        <w:t>Пайдаланылмаған препаратты немесе қалдықтарын жергілікті талаптарға сәйкес жою керек</w:t>
      </w:r>
      <w:r w:rsidR="00C3576F" w:rsidRPr="00CF3BA2">
        <w:rPr>
          <w:lang w:val="kk-KZ"/>
        </w:rPr>
        <w:t>.</w:t>
      </w:r>
    </w:p>
    <w:p w14:paraId="338D2CB1" w14:textId="7D38AA6A" w:rsidR="005245B3" w:rsidRPr="00CF3BA2" w:rsidRDefault="00ED3238">
      <w:pPr>
        <w:pStyle w:val="2"/>
        <w:numPr>
          <w:ilvl w:val="1"/>
          <w:numId w:val="1"/>
        </w:numPr>
        <w:tabs>
          <w:tab w:val="left" w:pos="585"/>
        </w:tabs>
        <w:spacing w:line="272" w:lineRule="exact"/>
        <w:rPr>
          <w:lang w:val="kk-KZ"/>
        </w:rPr>
      </w:pPr>
      <w:r w:rsidRPr="00CF3BA2">
        <w:rPr>
          <w:lang w:val="kk-KZ"/>
        </w:rPr>
        <w:t>Дәріханалардан босатылу шарттары</w:t>
      </w:r>
    </w:p>
    <w:p w14:paraId="49F840DE" w14:textId="7A731C8E" w:rsidR="005245B3" w:rsidRPr="00CF3BA2" w:rsidRDefault="00ED3238">
      <w:pPr>
        <w:pStyle w:val="a3"/>
        <w:spacing w:line="272" w:lineRule="exact"/>
        <w:rPr>
          <w:lang w:val="kk-KZ"/>
        </w:rPr>
      </w:pPr>
      <w:r w:rsidRPr="00CF3BA2">
        <w:rPr>
          <w:spacing w:val="-2"/>
          <w:lang w:val="kk-KZ"/>
        </w:rPr>
        <w:t>Р</w:t>
      </w:r>
      <w:r w:rsidR="00C3576F" w:rsidRPr="00CF3BA2">
        <w:rPr>
          <w:spacing w:val="-2"/>
          <w:lang w:val="kk-KZ"/>
        </w:rPr>
        <w:t>ецепт</w:t>
      </w:r>
      <w:r w:rsidRPr="00CF3BA2">
        <w:rPr>
          <w:spacing w:val="-2"/>
          <w:lang w:val="kk-KZ"/>
        </w:rPr>
        <w:t xml:space="preserve"> арқылы</w:t>
      </w:r>
    </w:p>
    <w:p w14:paraId="53DD51D3" w14:textId="77777777" w:rsidR="005245B3" w:rsidRPr="00CF3BA2" w:rsidRDefault="005245B3">
      <w:pPr>
        <w:pStyle w:val="a3"/>
        <w:spacing w:before="4"/>
        <w:ind w:left="0"/>
        <w:jc w:val="left"/>
        <w:rPr>
          <w:lang w:val="kk-KZ"/>
        </w:rPr>
      </w:pPr>
    </w:p>
    <w:p w14:paraId="6C98E8F0" w14:textId="783E4B29" w:rsidR="005245B3" w:rsidRPr="00CF3BA2" w:rsidRDefault="00B91BC3">
      <w:pPr>
        <w:pStyle w:val="1"/>
        <w:numPr>
          <w:ilvl w:val="0"/>
          <w:numId w:val="3"/>
        </w:numPr>
        <w:tabs>
          <w:tab w:val="left" w:pos="464"/>
        </w:tabs>
        <w:ind w:hanging="245"/>
        <w:jc w:val="both"/>
        <w:rPr>
          <w:lang w:val="kk-KZ"/>
        </w:rPr>
      </w:pPr>
      <w:r w:rsidRPr="00CF3BA2">
        <w:rPr>
          <w:lang w:val="kk-KZ"/>
        </w:rPr>
        <w:t>ТІРКЕУ КУӘЛІГІНІҢ ҰСТАУШЫСЫ</w:t>
      </w:r>
    </w:p>
    <w:p w14:paraId="68D7F18B" w14:textId="7C9C2540" w:rsidR="00B91BC3" w:rsidRPr="00CF3BA2" w:rsidRDefault="00AB5B6D" w:rsidP="00B91BC3">
      <w:pPr>
        <w:jc w:val="both"/>
        <w:rPr>
          <w:sz w:val="24"/>
          <w:szCs w:val="24"/>
          <w:lang w:val="kk-KZ"/>
        </w:rPr>
      </w:pPr>
      <w:r w:rsidRPr="00CF3BA2">
        <w:rPr>
          <w:sz w:val="24"/>
          <w:szCs w:val="24"/>
          <w:lang w:val="kk-KZ"/>
        </w:rPr>
        <w:t xml:space="preserve"> </w:t>
      </w:r>
      <w:r w:rsidR="00B91BC3" w:rsidRPr="00CF3BA2">
        <w:rPr>
          <w:sz w:val="24"/>
          <w:szCs w:val="24"/>
          <w:lang w:val="kk-KZ"/>
        </w:rPr>
        <w:t xml:space="preserve">   «Rogers Pharma» ЖШС, Қазақстан</w:t>
      </w:r>
    </w:p>
    <w:p w14:paraId="4FED1D79" w14:textId="013AAE0A" w:rsidR="00AB5B6D" w:rsidRPr="00CF3BA2" w:rsidRDefault="00B91BC3" w:rsidP="00B91BC3">
      <w:pPr>
        <w:ind w:left="219"/>
        <w:rPr>
          <w:sz w:val="24"/>
          <w:szCs w:val="24"/>
          <w:lang w:val="kk-KZ"/>
        </w:rPr>
      </w:pPr>
      <w:r w:rsidRPr="00CF3BA2">
        <w:rPr>
          <w:sz w:val="24"/>
          <w:szCs w:val="24"/>
          <w:lang w:val="kk-KZ"/>
        </w:rPr>
        <w:t>050043, Алматы қ., Мирас ықшам ауд., 157, 819</w:t>
      </w:r>
      <w:r w:rsidR="001E193F">
        <w:rPr>
          <w:sz w:val="24"/>
          <w:szCs w:val="24"/>
          <w:lang w:val="kk-KZ"/>
        </w:rPr>
        <w:t xml:space="preserve"> т.е.</w:t>
      </w:r>
    </w:p>
    <w:p w14:paraId="54CC91FB" w14:textId="77777777" w:rsidR="00C7111B" w:rsidRPr="00CF3BA2" w:rsidRDefault="00AB5B6D" w:rsidP="00AB5B6D">
      <w:pPr>
        <w:ind w:firstLine="218"/>
        <w:rPr>
          <w:sz w:val="24"/>
          <w:szCs w:val="24"/>
          <w:lang w:val="kk-KZ"/>
        </w:rPr>
      </w:pPr>
      <w:r w:rsidRPr="00CF3BA2">
        <w:rPr>
          <w:sz w:val="24"/>
          <w:szCs w:val="24"/>
          <w:lang w:val="kk-KZ"/>
        </w:rPr>
        <w:t>Тел. (727) 311-81-96/97</w:t>
      </w:r>
    </w:p>
    <w:p w14:paraId="56908FA9" w14:textId="527E5D42" w:rsidR="00AB5B6D" w:rsidRPr="00CF3BA2" w:rsidRDefault="00AB5B6D" w:rsidP="00AB5B6D">
      <w:pPr>
        <w:ind w:firstLine="218"/>
        <w:rPr>
          <w:sz w:val="24"/>
          <w:szCs w:val="24"/>
          <w:lang w:val="kk-KZ"/>
        </w:rPr>
      </w:pPr>
      <w:r w:rsidRPr="00CF3BA2">
        <w:rPr>
          <w:sz w:val="24"/>
          <w:szCs w:val="24"/>
          <w:lang w:val="kk-KZ"/>
        </w:rPr>
        <w:t>e-mail: office.secretary@rogersgroup.in</w:t>
      </w:r>
    </w:p>
    <w:p w14:paraId="2B7AB818" w14:textId="77777777" w:rsidR="005245B3" w:rsidRPr="00CF3BA2" w:rsidRDefault="005245B3">
      <w:pPr>
        <w:pStyle w:val="a3"/>
        <w:spacing w:before="7"/>
        <w:ind w:left="0"/>
        <w:jc w:val="left"/>
        <w:rPr>
          <w:lang w:val="kk-KZ"/>
        </w:rPr>
      </w:pPr>
    </w:p>
    <w:p w14:paraId="1DF52C70" w14:textId="68746468" w:rsidR="005245B3" w:rsidRPr="00CF3BA2" w:rsidRDefault="00C3576F" w:rsidP="00B91BC3">
      <w:pPr>
        <w:pStyle w:val="1"/>
        <w:tabs>
          <w:tab w:val="left" w:pos="1328"/>
          <w:tab w:val="left" w:pos="4236"/>
          <w:tab w:val="left" w:pos="6526"/>
        </w:tabs>
        <w:spacing w:before="90" w:line="242" w:lineRule="auto"/>
        <w:ind w:left="219" w:right="237" w:firstLine="0"/>
        <w:jc w:val="both"/>
        <w:rPr>
          <w:spacing w:val="-2"/>
          <w:lang w:val="kk-KZ"/>
        </w:rPr>
      </w:pPr>
      <w:r w:rsidRPr="00CF3BA2">
        <w:rPr>
          <w:spacing w:val="-4"/>
          <w:lang w:val="kk-KZ"/>
        </w:rPr>
        <w:t>7.1.</w:t>
      </w:r>
      <w:r w:rsidR="00B91BC3" w:rsidRPr="00CF3BA2">
        <w:rPr>
          <w:spacing w:val="-4"/>
          <w:lang w:val="kk-KZ"/>
        </w:rPr>
        <w:t xml:space="preserve"> </w:t>
      </w:r>
      <w:r w:rsidR="00B91BC3" w:rsidRPr="00CF3BA2">
        <w:rPr>
          <w:spacing w:val="-2"/>
          <w:lang w:val="kk-KZ"/>
        </w:rPr>
        <w:t>ТІРКЕУ КУӘЛІГІ ҰСТАУШЫСЫНЫҢ ӨКІЛІ</w:t>
      </w:r>
    </w:p>
    <w:p w14:paraId="274907EB" w14:textId="3B122C43" w:rsidR="00BF3F53" w:rsidRPr="00CF3BA2" w:rsidRDefault="00B91BC3">
      <w:pPr>
        <w:pStyle w:val="1"/>
        <w:tabs>
          <w:tab w:val="left" w:pos="1328"/>
          <w:tab w:val="left" w:pos="4236"/>
          <w:tab w:val="left" w:pos="6526"/>
        </w:tabs>
        <w:spacing w:before="90" w:line="242" w:lineRule="auto"/>
        <w:ind w:left="219" w:right="237" w:firstLine="0"/>
        <w:rPr>
          <w:b w:val="0"/>
          <w:bCs w:val="0"/>
          <w:lang w:val="kk-KZ"/>
        </w:rPr>
      </w:pPr>
      <w:r w:rsidRPr="00CF3BA2">
        <w:rPr>
          <w:b w:val="0"/>
          <w:bCs w:val="0"/>
          <w:spacing w:val="-2"/>
          <w:lang w:val="kk-KZ"/>
        </w:rPr>
        <w:lastRenderedPageBreak/>
        <w:t>Тұтынушылар шағымдарын мына мекенжайға жолдау керек</w:t>
      </w:r>
      <w:r w:rsidR="00BF3F53" w:rsidRPr="00CF3BA2">
        <w:rPr>
          <w:b w:val="0"/>
          <w:bCs w:val="0"/>
          <w:spacing w:val="-2"/>
          <w:lang w:val="kk-KZ"/>
        </w:rPr>
        <w:t>:</w:t>
      </w:r>
    </w:p>
    <w:p w14:paraId="4A50016D" w14:textId="4E9FAAEB" w:rsidR="00C3576F" w:rsidRPr="00CF3BA2" w:rsidRDefault="00B91BC3" w:rsidP="00BF6945">
      <w:pPr>
        <w:pStyle w:val="a3"/>
        <w:spacing w:line="237" w:lineRule="auto"/>
        <w:ind w:right="228"/>
        <w:rPr>
          <w:lang w:val="kk-KZ"/>
        </w:rPr>
      </w:pPr>
      <w:r w:rsidRPr="00CF3BA2">
        <w:rPr>
          <w:lang w:val="kk-KZ"/>
        </w:rPr>
        <w:t xml:space="preserve">Қазақстан </w:t>
      </w:r>
      <w:r w:rsidR="00C3576F" w:rsidRPr="00CF3BA2">
        <w:rPr>
          <w:lang w:val="kk-KZ"/>
        </w:rPr>
        <w:t>Республика</w:t>
      </w:r>
      <w:r w:rsidRPr="00CF3BA2">
        <w:rPr>
          <w:lang w:val="kk-KZ"/>
        </w:rPr>
        <w:t>сы</w:t>
      </w:r>
    </w:p>
    <w:p w14:paraId="6C171A20" w14:textId="4979AA01" w:rsidR="00AB5B6D" w:rsidRPr="00CF3BA2" w:rsidRDefault="00AB5B6D" w:rsidP="00AB5B6D">
      <w:pPr>
        <w:ind w:firstLine="219"/>
        <w:rPr>
          <w:sz w:val="24"/>
          <w:szCs w:val="24"/>
          <w:lang w:val="kk-KZ"/>
        </w:rPr>
      </w:pPr>
      <w:r w:rsidRPr="00CF3BA2">
        <w:rPr>
          <w:sz w:val="24"/>
          <w:szCs w:val="24"/>
          <w:lang w:val="kk-KZ"/>
        </w:rPr>
        <w:t>«Rogers Pharma»</w:t>
      </w:r>
      <w:r w:rsidR="00B91BC3" w:rsidRPr="00CF3BA2">
        <w:rPr>
          <w:sz w:val="24"/>
          <w:szCs w:val="24"/>
          <w:lang w:val="kk-KZ"/>
        </w:rPr>
        <w:t xml:space="preserve"> ЖШС</w:t>
      </w:r>
    </w:p>
    <w:p w14:paraId="37C90FA6" w14:textId="6DFBF061" w:rsidR="00AB5B6D" w:rsidRPr="00CF3BA2" w:rsidRDefault="00AB5B6D" w:rsidP="00AB5B6D">
      <w:pPr>
        <w:ind w:firstLine="219"/>
        <w:rPr>
          <w:sz w:val="24"/>
          <w:szCs w:val="24"/>
          <w:lang w:val="kk-KZ"/>
        </w:rPr>
      </w:pPr>
      <w:r w:rsidRPr="00CF3BA2">
        <w:rPr>
          <w:sz w:val="24"/>
          <w:szCs w:val="24"/>
          <w:lang w:val="kk-KZ"/>
        </w:rPr>
        <w:t xml:space="preserve">050043, </w:t>
      </w:r>
      <w:r w:rsidR="00B91BC3" w:rsidRPr="00CF3BA2">
        <w:rPr>
          <w:sz w:val="24"/>
          <w:szCs w:val="24"/>
          <w:lang w:val="kk-KZ"/>
        </w:rPr>
        <w:t xml:space="preserve">Алматы қ., Мирас ықшам ауд., 157, </w:t>
      </w:r>
      <w:r w:rsidRPr="00CF3BA2">
        <w:rPr>
          <w:sz w:val="24"/>
          <w:szCs w:val="24"/>
          <w:lang w:val="kk-KZ"/>
        </w:rPr>
        <w:t>819</w:t>
      </w:r>
      <w:r w:rsidR="001E193F">
        <w:rPr>
          <w:sz w:val="24"/>
          <w:szCs w:val="24"/>
          <w:lang w:val="kk-KZ"/>
        </w:rPr>
        <w:t xml:space="preserve"> т.е</w:t>
      </w:r>
      <w:r w:rsidRPr="00CF3BA2">
        <w:rPr>
          <w:sz w:val="24"/>
          <w:szCs w:val="24"/>
          <w:lang w:val="kk-KZ"/>
        </w:rPr>
        <w:t xml:space="preserve">. </w:t>
      </w:r>
    </w:p>
    <w:p w14:paraId="50D19F1A" w14:textId="6529A89D" w:rsidR="00AB5B6D" w:rsidRPr="00CF3BA2" w:rsidRDefault="00AB5B6D" w:rsidP="00AB5B6D">
      <w:pPr>
        <w:ind w:firstLine="219"/>
        <w:rPr>
          <w:sz w:val="24"/>
          <w:szCs w:val="24"/>
          <w:lang w:val="kk-KZ"/>
        </w:rPr>
      </w:pPr>
      <w:r w:rsidRPr="00CF3BA2">
        <w:rPr>
          <w:sz w:val="24"/>
          <w:szCs w:val="24"/>
          <w:lang w:val="kk-KZ"/>
        </w:rPr>
        <w:t xml:space="preserve">Тел. (727) 311-81-96/97 </w:t>
      </w:r>
    </w:p>
    <w:p w14:paraId="0A367A90" w14:textId="35F0C7AE" w:rsidR="005C17C2" w:rsidRPr="00CF3BA2" w:rsidRDefault="00B91BC3" w:rsidP="00AB5B6D">
      <w:pPr>
        <w:ind w:firstLine="219"/>
        <w:rPr>
          <w:sz w:val="24"/>
          <w:szCs w:val="24"/>
          <w:lang w:val="kk-KZ"/>
        </w:rPr>
      </w:pPr>
      <w:r w:rsidRPr="00CF3BA2">
        <w:rPr>
          <w:sz w:val="24"/>
          <w:szCs w:val="24"/>
          <w:lang w:val="kk-KZ" w:eastAsia="ru-RU"/>
        </w:rPr>
        <w:t>24 сағат бойы жұмыс істейтін телефон</w:t>
      </w:r>
      <w:r w:rsidR="005C17C2" w:rsidRPr="00CF3BA2">
        <w:rPr>
          <w:sz w:val="24"/>
          <w:szCs w:val="24"/>
          <w:lang w:val="kk-KZ"/>
        </w:rPr>
        <w:t>: + 77479911904</w:t>
      </w:r>
    </w:p>
    <w:p w14:paraId="63E36341" w14:textId="060DD2D6" w:rsidR="00AB5B6D" w:rsidRPr="00CF3BA2" w:rsidRDefault="00AB5B6D" w:rsidP="00AB5B6D">
      <w:pPr>
        <w:ind w:firstLine="219"/>
        <w:rPr>
          <w:sz w:val="24"/>
          <w:szCs w:val="24"/>
          <w:lang w:val="kk-KZ"/>
        </w:rPr>
      </w:pPr>
      <w:r w:rsidRPr="00CF3BA2">
        <w:rPr>
          <w:sz w:val="24"/>
          <w:szCs w:val="24"/>
          <w:lang w:val="kk-KZ"/>
        </w:rPr>
        <w:t xml:space="preserve">e-mail: </w:t>
      </w:r>
      <w:hyperlink r:id="rId6" w:history="1">
        <w:r w:rsidR="004A5AF1" w:rsidRPr="00CF3BA2">
          <w:rPr>
            <w:rStyle w:val="ac"/>
            <w:sz w:val="24"/>
            <w:szCs w:val="24"/>
            <w:lang w:val="kk-KZ"/>
          </w:rPr>
          <w:t>pharmacovigilance@rogerspharma.kz</w:t>
        </w:r>
      </w:hyperlink>
      <w:r w:rsidR="004A5AF1" w:rsidRPr="00CF3BA2">
        <w:rPr>
          <w:sz w:val="24"/>
          <w:szCs w:val="24"/>
          <w:lang w:val="kk-KZ"/>
        </w:rPr>
        <w:t xml:space="preserve"> </w:t>
      </w:r>
      <w:r w:rsidRPr="00CF3BA2">
        <w:rPr>
          <w:sz w:val="24"/>
          <w:szCs w:val="24"/>
          <w:lang w:val="kk-KZ"/>
        </w:rPr>
        <w:t xml:space="preserve"> </w:t>
      </w:r>
    </w:p>
    <w:p w14:paraId="4F10C21E" w14:textId="77777777" w:rsidR="005245B3" w:rsidRPr="00CF3BA2" w:rsidRDefault="005245B3" w:rsidP="00BF6945">
      <w:pPr>
        <w:pStyle w:val="a3"/>
        <w:spacing w:before="5"/>
        <w:ind w:left="246"/>
        <w:jc w:val="left"/>
        <w:rPr>
          <w:lang w:val="kk-KZ"/>
        </w:rPr>
      </w:pPr>
    </w:p>
    <w:p w14:paraId="50F3E10C" w14:textId="7F668626" w:rsidR="005245B3" w:rsidRPr="00CF3BA2" w:rsidRDefault="00B91BC3">
      <w:pPr>
        <w:pStyle w:val="1"/>
        <w:numPr>
          <w:ilvl w:val="0"/>
          <w:numId w:val="3"/>
        </w:numPr>
        <w:tabs>
          <w:tab w:val="left" w:pos="464"/>
        </w:tabs>
        <w:spacing w:line="272" w:lineRule="exact"/>
        <w:ind w:hanging="245"/>
        <w:rPr>
          <w:lang w:val="kk-KZ"/>
        </w:rPr>
      </w:pPr>
      <w:r w:rsidRPr="00CF3BA2">
        <w:rPr>
          <w:lang w:val="kk-KZ"/>
        </w:rPr>
        <w:t>ТІРКЕУ КУӘЛІГІНІҢ НӨМІРІ</w:t>
      </w:r>
    </w:p>
    <w:p w14:paraId="7FC9C606" w14:textId="77777777" w:rsidR="00B43F95" w:rsidRPr="00CF3BA2" w:rsidRDefault="00B43F95" w:rsidP="00B43F95">
      <w:pPr>
        <w:pStyle w:val="1"/>
        <w:tabs>
          <w:tab w:val="left" w:pos="464"/>
        </w:tabs>
        <w:spacing w:line="272" w:lineRule="exact"/>
        <w:ind w:firstLine="0"/>
        <w:rPr>
          <w:lang w:val="kk-KZ"/>
        </w:rPr>
      </w:pPr>
    </w:p>
    <w:p w14:paraId="6B4AD805" w14:textId="08788228" w:rsidR="005245B3" w:rsidRPr="00CF3BA2" w:rsidRDefault="00B91BC3" w:rsidP="00B91BC3">
      <w:pPr>
        <w:pStyle w:val="1"/>
        <w:numPr>
          <w:ilvl w:val="0"/>
          <w:numId w:val="3"/>
        </w:numPr>
        <w:tabs>
          <w:tab w:val="left" w:pos="508"/>
        </w:tabs>
        <w:spacing w:before="72" w:line="237" w:lineRule="auto"/>
        <w:ind w:right="237"/>
        <w:rPr>
          <w:spacing w:val="-2"/>
          <w:lang w:val="kk-KZ"/>
        </w:rPr>
      </w:pPr>
      <w:r w:rsidRPr="00CF3BA2">
        <w:rPr>
          <w:spacing w:val="-2"/>
          <w:lang w:val="kk-KZ"/>
        </w:rPr>
        <w:t>БАСТАПҚЫ ТІРКЕЛГЕН (ТІРКЕУ, ҚАЙТА ТІРКЕУ РАСТАЛҒАН) КҮН</w:t>
      </w:r>
    </w:p>
    <w:p w14:paraId="314E157A" w14:textId="24F7DAB4" w:rsidR="005245B3" w:rsidRPr="00CF3BA2" w:rsidRDefault="00B91BC3">
      <w:pPr>
        <w:pStyle w:val="a3"/>
        <w:spacing w:line="273" w:lineRule="exact"/>
        <w:jc w:val="left"/>
        <w:rPr>
          <w:lang w:val="kk-KZ"/>
        </w:rPr>
      </w:pPr>
      <w:r w:rsidRPr="00CF3BA2">
        <w:rPr>
          <w:lang w:val="kk-KZ"/>
        </w:rPr>
        <w:t>Бірінші тіркеу күні</w:t>
      </w:r>
      <w:r w:rsidR="00C3576F" w:rsidRPr="00CF3BA2">
        <w:rPr>
          <w:lang w:val="kk-KZ"/>
        </w:rPr>
        <w:t>:</w:t>
      </w:r>
      <w:r w:rsidR="00C3576F" w:rsidRPr="00CF3BA2">
        <w:rPr>
          <w:spacing w:val="4"/>
          <w:lang w:val="kk-KZ"/>
        </w:rPr>
        <w:t xml:space="preserve"> </w:t>
      </w:r>
    </w:p>
    <w:p w14:paraId="1B9AC543" w14:textId="13D442AE" w:rsidR="005245B3" w:rsidRPr="00CF3BA2" w:rsidRDefault="00B91BC3">
      <w:pPr>
        <w:pStyle w:val="a3"/>
        <w:spacing w:line="275" w:lineRule="exact"/>
        <w:jc w:val="left"/>
        <w:rPr>
          <w:lang w:val="kk-KZ"/>
        </w:rPr>
      </w:pPr>
      <w:r w:rsidRPr="00CF3BA2">
        <w:rPr>
          <w:rFonts w:eastAsia="Calibri"/>
          <w:lang w:val="kk-KZ"/>
        </w:rPr>
        <w:t>Тіркеу (қайта тіркеу) соңғы  расталған күн</w:t>
      </w:r>
      <w:r w:rsidR="00C3576F" w:rsidRPr="00CF3BA2">
        <w:rPr>
          <w:lang w:val="kk-KZ"/>
        </w:rPr>
        <w:t>:</w:t>
      </w:r>
      <w:r w:rsidR="00C3576F" w:rsidRPr="00CF3BA2">
        <w:rPr>
          <w:spacing w:val="2"/>
          <w:lang w:val="kk-KZ"/>
        </w:rPr>
        <w:t xml:space="preserve"> </w:t>
      </w:r>
    </w:p>
    <w:p w14:paraId="1B8E49F3" w14:textId="77777777" w:rsidR="005245B3" w:rsidRPr="00CF3BA2" w:rsidRDefault="005245B3">
      <w:pPr>
        <w:pStyle w:val="a3"/>
        <w:spacing w:before="5"/>
        <w:ind w:left="0"/>
        <w:jc w:val="left"/>
        <w:rPr>
          <w:lang w:val="kk-KZ"/>
        </w:rPr>
      </w:pPr>
    </w:p>
    <w:p w14:paraId="3CB7A201" w14:textId="14136603" w:rsidR="005245B3" w:rsidRPr="00CF3BA2" w:rsidRDefault="00B91BC3">
      <w:pPr>
        <w:pStyle w:val="1"/>
        <w:numPr>
          <w:ilvl w:val="0"/>
          <w:numId w:val="3"/>
        </w:numPr>
        <w:tabs>
          <w:tab w:val="left" w:pos="585"/>
        </w:tabs>
        <w:ind w:left="585" w:hanging="366"/>
        <w:rPr>
          <w:lang w:val="kk-KZ"/>
        </w:rPr>
      </w:pPr>
      <w:r w:rsidRPr="00CF3BA2">
        <w:rPr>
          <w:lang w:val="kk-KZ"/>
        </w:rPr>
        <w:t>МӘТІН ҚАЙТА ҚАРАЛҒАН КҮН</w:t>
      </w:r>
    </w:p>
    <w:p w14:paraId="6BCED913" w14:textId="6F2303C1" w:rsidR="005245B3" w:rsidRPr="00CF3BA2" w:rsidRDefault="00B91BC3">
      <w:pPr>
        <w:pStyle w:val="a3"/>
        <w:spacing w:before="1" w:line="237" w:lineRule="auto"/>
        <w:jc w:val="left"/>
        <w:rPr>
          <w:spacing w:val="-2"/>
          <w:u w:val="single"/>
          <w:lang w:val="kk-KZ"/>
        </w:rPr>
      </w:pPr>
      <w:r w:rsidRPr="00CF3BA2">
        <w:rPr>
          <w:rFonts w:eastAsia="TimesNewRomanPSMT"/>
          <w:lang w:val="kk-KZ"/>
        </w:rPr>
        <w:t>Дәрілік препараттың жалпы сипаттамасын ресми сайттан қарауға болады</w:t>
      </w:r>
      <w:r w:rsidRPr="00CF3BA2">
        <w:rPr>
          <w:lang w:val="kk-KZ"/>
        </w:rPr>
        <w:t xml:space="preserve"> </w:t>
      </w:r>
      <w:hyperlink r:id="rId7">
        <w:r w:rsidR="00C3576F" w:rsidRPr="00CF3BA2">
          <w:rPr>
            <w:spacing w:val="-2"/>
            <w:u w:val="single"/>
            <w:lang w:val="kk-KZ"/>
          </w:rPr>
          <w:t>http://www.ndda.kz</w:t>
        </w:r>
      </w:hyperlink>
    </w:p>
    <w:sectPr w:rsidR="005245B3" w:rsidRPr="00CF3BA2">
      <w:pgSz w:w="11910" w:h="16840"/>
      <w:pgMar w:top="1320" w:right="90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2020603050405020304"/>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F68A1"/>
    <w:multiLevelType w:val="hybridMultilevel"/>
    <w:tmpl w:val="D7E4E394"/>
    <w:lvl w:ilvl="0" w:tplc="17324260">
      <w:numFmt w:val="bullet"/>
      <w:lvlText w:val=""/>
      <w:lvlJc w:val="left"/>
      <w:pPr>
        <w:ind w:left="579" w:hanging="360"/>
      </w:pPr>
      <w:rPr>
        <w:rFonts w:ascii="Symbol" w:eastAsia="Times New Roman" w:hAnsi="Symbol" w:cs="Times New Roman"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1" w15:restartNumberingAfterBreak="0">
    <w:nsid w:val="0DF10D0A"/>
    <w:multiLevelType w:val="hybridMultilevel"/>
    <w:tmpl w:val="96C22622"/>
    <w:lvl w:ilvl="0" w:tplc="0936A2DE">
      <w:start w:val="3"/>
      <w:numFmt w:val="bullet"/>
      <w:lvlText w:val=""/>
      <w:lvlJc w:val="left"/>
      <w:pPr>
        <w:ind w:left="579" w:hanging="360"/>
      </w:pPr>
      <w:rPr>
        <w:rFonts w:ascii="Symbol" w:eastAsia="Times New Roman" w:hAnsi="Symbol" w:cs="Times New Roman"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 w15:restartNumberingAfterBreak="0">
    <w:nsid w:val="0FD7675B"/>
    <w:multiLevelType w:val="hybridMultilevel"/>
    <w:tmpl w:val="953A4112"/>
    <w:lvl w:ilvl="0" w:tplc="9CD8B238">
      <w:start w:val="3"/>
      <w:numFmt w:val="bullet"/>
      <w:lvlText w:val=""/>
      <w:lvlJc w:val="left"/>
      <w:pPr>
        <w:ind w:left="579" w:hanging="360"/>
      </w:pPr>
      <w:rPr>
        <w:rFonts w:ascii="Symbol" w:eastAsia="Times New Roman" w:hAnsi="Symbol" w:cs="Times New Roman"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3" w15:restartNumberingAfterBreak="0">
    <w:nsid w:val="16D34C94"/>
    <w:multiLevelType w:val="multilevel"/>
    <w:tmpl w:val="6628A854"/>
    <w:lvl w:ilvl="0">
      <w:start w:val="1"/>
      <w:numFmt w:val="decimal"/>
      <w:lvlText w:val="%1."/>
      <w:lvlJc w:val="left"/>
      <w:pPr>
        <w:ind w:left="464" w:hanging="246"/>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585" w:hanging="366"/>
      </w:pPr>
      <w:rPr>
        <w:rFonts w:hint="default"/>
        <w:w w:val="100"/>
        <w:lang w:val="ru-RU" w:eastAsia="en-US" w:bidi="ar-SA"/>
      </w:rPr>
    </w:lvl>
    <w:lvl w:ilvl="2">
      <w:numFmt w:val="bullet"/>
      <w:lvlText w:val="-"/>
      <w:lvlJc w:val="left"/>
      <w:pPr>
        <w:ind w:left="219" w:hanging="169"/>
      </w:pPr>
      <w:rPr>
        <w:rFonts w:ascii="Times New Roman" w:eastAsia="Times New Roman" w:hAnsi="Times New Roman" w:cs="Times New Roman" w:hint="default"/>
        <w:w w:val="99"/>
        <w:lang w:val="ru-RU" w:eastAsia="en-US" w:bidi="ar-SA"/>
      </w:rPr>
    </w:lvl>
    <w:lvl w:ilvl="3">
      <w:numFmt w:val="bullet"/>
      <w:lvlText w:val="•"/>
      <w:lvlJc w:val="left"/>
      <w:pPr>
        <w:ind w:left="1698" w:hanging="169"/>
      </w:pPr>
      <w:rPr>
        <w:rFonts w:hint="default"/>
        <w:lang w:val="ru-RU" w:eastAsia="en-US" w:bidi="ar-SA"/>
      </w:rPr>
    </w:lvl>
    <w:lvl w:ilvl="4">
      <w:numFmt w:val="bullet"/>
      <w:lvlText w:val="•"/>
      <w:lvlJc w:val="left"/>
      <w:pPr>
        <w:ind w:left="2816" w:hanging="169"/>
      </w:pPr>
      <w:rPr>
        <w:rFonts w:hint="default"/>
        <w:lang w:val="ru-RU" w:eastAsia="en-US" w:bidi="ar-SA"/>
      </w:rPr>
    </w:lvl>
    <w:lvl w:ilvl="5">
      <w:numFmt w:val="bullet"/>
      <w:lvlText w:val="•"/>
      <w:lvlJc w:val="left"/>
      <w:pPr>
        <w:ind w:left="3934" w:hanging="169"/>
      </w:pPr>
      <w:rPr>
        <w:rFonts w:hint="default"/>
        <w:lang w:val="ru-RU" w:eastAsia="en-US" w:bidi="ar-SA"/>
      </w:rPr>
    </w:lvl>
    <w:lvl w:ilvl="6">
      <w:numFmt w:val="bullet"/>
      <w:lvlText w:val="•"/>
      <w:lvlJc w:val="left"/>
      <w:pPr>
        <w:ind w:left="5052" w:hanging="169"/>
      </w:pPr>
      <w:rPr>
        <w:rFonts w:hint="default"/>
        <w:lang w:val="ru-RU" w:eastAsia="en-US" w:bidi="ar-SA"/>
      </w:rPr>
    </w:lvl>
    <w:lvl w:ilvl="7">
      <w:numFmt w:val="bullet"/>
      <w:lvlText w:val="•"/>
      <w:lvlJc w:val="left"/>
      <w:pPr>
        <w:ind w:left="6170" w:hanging="169"/>
      </w:pPr>
      <w:rPr>
        <w:rFonts w:hint="default"/>
        <w:lang w:val="ru-RU" w:eastAsia="en-US" w:bidi="ar-SA"/>
      </w:rPr>
    </w:lvl>
    <w:lvl w:ilvl="8">
      <w:numFmt w:val="bullet"/>
      <w:lvlText w:val="•"/>
      <w:lvlJc w:val="left"/>
      <w:pPr>
        <w:ind w:left="7288" w:hanging="169"/>
      </w:pPr>
      <w:rPr>
        <w:rFonts w:hint="default"/>
        <w:lang w:val="ru-RU" w:eastAsia="en-US" w:bidi="ar-SA"/>
      </w:rPr>
    </w:lvl>
  </w:abstractNum>
  <w:abstractNum w:abstractNumId="4" w15:restartNumberingAfterBreak="0">
    <w:nsid w:val="27662286"/>
    <w:multiLevelType w:val="multilevel"/>
    <w:tmpl w:val="2AF669C2"/>
    <w:lvl w:ilvl="0">
      <w:start w:val="6"/>
      <w:numFmt w:val="decimal"/>
      <w:lvlText w:val="%1"/>
      <w:lvlJc w:val="left"/>
      <w:pPr>
        <w:ind w:left="642" w:hanging="423"/>
      </w:pPr>
      <w:rPr>
        <w:rFonts w:hint="default"/>
        <w:lang w:val="ru-RU" w:eastAsia="en-US" w:bidi="ar-SA"/>
      </w:rPr>
    </w:lvl>
    <w:lvl w:ilvl="1">
      <w:start w:val="1"/>
      <w:numFmt w:val="decimal"/>
      <w:lvlText w:val="%1.%2."/>
      <w:lvlJc w:val="left"/>
      <w:pPr>
        <w:ind w:left="642" w:hanging="423"/>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2416" w:hanging="423"/>
      </w:pPr>
      <w:rPr>
        <w:rFonts w:hint="default"/>
        <w:lang w:val="ru-RU" w:eastAsia="en-US" w:bidi="ar-SA"/>
      </w:rPr>
    </w:lvl>
    <w:lvl w:ilvl="3">
      <w:numFmt w:val="bullet"/>
      <w:lvlText w:val="•"/>
      <w:lvlJc w:val="left"/>
      <w:pPr>
        <w:ind w:left="3305" w:hanging="423"/>
      </w:pPr>
      <w:rPr>
        <w:rFonts w:hint="default"/>
        <w:lang w:val="ru-RU" w:eastAsia="en-US" w:bidi="ar-SA"/>
      </w:rPr>
    </w:lvl>
    <w:lvl w:ilvl="4">
      <w:numFmt w:val="bullet"/>
      <w:lvlText w:val="•"/>
      <w:lvlJc w:val="left"/>
      <w:pPr>
        <w:ind w:left="4193" w:hanging="423"/>
      </w:pPr>
      <w:rPr>
        <w:rFonts w:hint="default"/>
        <w:lang w:val="ru-RU" w:eastAsia="en-US" w:bidi="ar-SA"/>
      </w:rPr>
    </w:lvl>
    <w:lvl w:ilvl="5">
      <w:numFmt w:val="bullet"/>
      <w:lvlText w:val="•"/>
      <w:lvlJc w:val="left"/>
      <w:pPr>
        <w:ind w:left="5082" w:hanging="423"/>
      </w:pPr>
      <w:rPr>
        <w:rFonts w:hint="default"/>
        <w:lang w:val="ru-RU" w:eastAsia="en-US" w:bidi="ar-SA"/>
      </w:rPr>
    </w:lvl>
    <w:lvl w:ilvl="6">
      <w:numFmt w:val="bullet"/>
      <w:lvlText w:val="•"/>
      <w:lvlJc w:val="left"/>
      <w:pPr>
        <w:ind w:left="5970" w:hanging="423"/>
      </w:pPr>
      <w:rPr>
        <w:rFonts w:hint="default"/>
        <w:lang w:val="ru-RU" w:eastAsia="en-US" w:bidi="ar-SA"/>
      </w:rPr>
    </w:lvl>
    <w:lvl w:ilvl="7">
      <w:numFmt w:val="bullet"/>
      <w:lvlText w:val="•"/>
      <w:lvlJc w:val="left"/>
      <w:pPr>
        <w:ind w:left="6858" w:hanging="423"/>
      </w:pPr>
      <w:rPr>
        <w:rFonts w:hint="default"/>
        <w:lang w:val="ru-RU" w:eastAsia="en-US" w:bidi="ar-SA"/>
      </w:rPr>
    </w:lvl>
    <w:lvl w:ilvl="8">
      <w:numFmt w:val="bullet"/>
      <w:lvlText w:val="•"/>
      <w:lvlJc w:val="left"/>
      <w:pPr>
        <w:ind w:left="7747" w:hanging="423"/>
      </w:pPr>
      <w:rPr>
        <w:rFonts w:hint="default"/>
        <w:lang w:val="ru-RU" w:eastAsia="en-US" w:bidi="ar-SA"/>
      </w:rPr>
    </w:lvl>
  </w:abstractNum>
  <w:abstractNum w:abstractNumId="5" w15:restartNumberingAfterBreak="0">
    <w:nsid w:val="6B125B59"/>
    <w:multiLevelType w:val="hybridMultilevel"/>
    <w:tmpl w:val="FC2A78A6"/>
    <w:lvl w:ilvl="0" w:tplc="37840B04">
      <w:numFmt w:val="bullet"/>
      <w:lvlText w:val=""/>
      <w:lvlJc w:val="left"/>
      <w:pPr>
        <w:ind w:left="579" w:hanging="360"/>
      </w:pPr>
      <w:rPr>
        <w:rFonts w:ascii="Symbol" w:eastAsia="Times New Roman" w:hAnsi="Symbol" w:cs="Times New Roman"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6" w15:restartNumberingAfterBreak="0">
    <w:nsid w:val="7F3F6BAB"/>
    <w:multiLevelType w:val="multilevel"/>
    <w:tmpl w:val="9092B6FC"/>
    <w:lvl w:ilvl="0">
      <w:start w:val="6"/>
      <w:numFmt w:val="decimal"/>
      <w:lvlText w:val="%1"/>
      <w:lvlJc w:val="left"/>
      <w:pPr>
        <w:ind w:left="585" w:hanging="366"/>
      </w:pPr>
      <w:rPr>
        <w:rFonts w:hint="default"/>
        <w:lang w:val="ru-RU" w:eastAsia="en-US" w:bidi="ar-SA"/>
      </w:rPr>
    </w:lvl>
    <w:lvl w:ilvl="1">
      <w:start w:val="3"/>
      <w:numFmt w:val="decimal"/>
      <w:lvlText w:val="%1.%2"/>
      <w:lvlJc w:val="left"/>
      <w:pPr>
        <w:ind w:left="585" w:hanging="366"/>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2368" w:hanging="366"/>
      </w:pPr>
      <w:rPr>
        <w:rFonts w:hint="default"/>
        <w:lang w:val="ru-RU" w:eastAsia="en-US" w:bidi="ar-SA"/>
      </w:rPr>
    </w:lvl>
    <w:lvl w:ilvl="3">
      <w:numFmt w:val="bullet"/>
      <w:lvlText w:val="•"/>
      <w:lvlJc w:val="left"/>
      <w:pPr>
        <w:ind w:left="3263" w:hanging="366"/>
      </w:pPr>
      <w:rPr>
        <w:rFonts w:hint="default"/>
        <w:lang w:val="ru-RU" w:eastAsia="en-US" w:bidi="ar-SA"/>
      </w:rPr>
    </w:lvl>
    <w:lvl w:ilvl="4">
      <w:numFmt w:val="bullet"/>
      <w:lvlText w:val="•"/>
      <w:lvlJc w:val="left"/>
      <w:pPr>
        <w:ind w:left="4157" w:hanging="366"/>
      </w:pPr>
      <w:rPr>
        <w:rFonts w:hint="default"/>
        <w:lang w:val="ru-RU" w:eastAsia="en-US" w:bidi="ar-SA"/>
      </w:rPr>
    </w:lvl>
    <w:lvl w:ilvl="5">
      <w:numFmt w:val="bullet"/>
      <w:lvlText w:val="•"/>
      <w:lvlJc w:val="left"/>
      <w:pPr>
        <w:ind w:left="5052" w:hanging="366"/>
      </w:pPr>
      <w:rPr>
        <w:rFonts w:hint="default"/>
        <w:lang w:val="ru-RU" w:eastAsia="en-US" w:bidi="ar-SA"/>
      </w:rPr>
    </w:lvl>
    <w:lvl w:ilvl="6">
      <w:numFmt w:val="bullet"/>
      <w:lvlText w:val="•"/>
      <w:lvlJc w:val="left"/>
      <w:pPr>
        <w:ind w:left="5946" w:hanging="366"/>
      </w:pPr>
      <w:rPr>
        <w:rFonts w:hint="default"/>
        <w:lang w:val="ru-RU" w:eastAsia="en-US" w:bidi="ar-SA"/>
      </w:rPr>
    </w:lvl>
    <w:lvl w:ilvl="7">
      <w:numFmt w:val="bullet"/>
      <w:lvlText w:val="•"/>
      <w:lvlJc w:val="left"/>
      <w:pPr>
        <w:ind w:left="6840" w:hanging="366"/>
      </w:pPr>
      <w:rPr>
        <w:rFonts w:hint="default"/>
        <w:lang w:val="ru-RU" w:eastAsia="en-US" w:bidi="ar-SA"/>
      </w:rPr>
    </w:lvl>
    <w:lvl w:ilvl="8">
      <w:numFmt w:val="bullet"/>
      <w:lvlText w:val="•"/>
      <w:lvlJc w:val="left"/>
      <w:pPr>
        <w:ind w:left="7735" w:hanging="366"/>
      </w:pPr>
      <w:rPr>
        <w:rFonts w:hint="default"/>
        <w:lang w:val="ru-RU" w:eastAsia="en-US" w:bidi="ar-SA"/>
      </w:r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5B3"/>
    <w:rsid w:val="0002586D"/>
    <w:rsid w:val="00090D58"/>
    <w:rsid w:val="00147196"/>
    <w:rsid w:val="00180541"/>
    <w:rsid w:val="0019544F"/>
    <w:rsid w:val="001B177D"/>
    <w:rsid w:val="001E193F"/>
    <w:rsid w:val="001E486D"/>
    <w:rsid w:val="001F4B2A"/>
    <w:rsid w:val="00203EE5"/>
    <w:rsid w:val="00223BFE"/>
    <w:rsid w:val="002429D0"/>
    <w:rsid w:val="00244F9F"/>
    <w:rsid w:val="002601F9"/>
    <w:rsid w:val="002C0F43"/>
    <w:rsid w:val="002C1A16"/>
    <w:rsid w:val="002C732A"/>
    <w:rsid w:val="002E338B"/>
    <w:rsid w:val="0030415E"/>
    <w:rsid w:val="00321AC2"/>
    <w:rsid w:val="003B2E89"/>
    <w:rsid w:val="003C25C4"/>
    <w:rsid w:val="003D0573"/>
    <w:rsid w:val="003D29FC"/>
    <w:rsid w:val="0042532D"/>
    <w:rsid w:val="00460C45"/>
    <w:rsid w:val="00475545"/>
    <w:rsid w:val="0047700E"/>
    <w:rsid w:val="00492EB2"/>
    <w:rsid w:val="004A5AF1"/>
    <w:rsid w:val="005245B3"/>
    <w:rsid w:val="00556A9A"/>
    <w:rsid w:val="005936D0"/>
    <w:rsid w:val="005967D0"/>
    <w:rsid w:val="0059794B"/>
    <w:rsid w:val="005C17C2"/>
    <w:rsid w:val="005C4CDE"/>
    <w:rsid w:val="005D54EA"/>
    <w:rsid w:val="0066775A"/>
    <w:rsid w:val="006B395E"/>
    <w:rsid w:val="006B48AD"/>
    <w:rsid w:val="006C1C65"/>
    <w:rsid w:val="007216F5"/>
    <w:rsid w:val="007275D3"/>
    <w:rsid w:val="0074167B"/>
    <w:rsid w:val="007A492C"/>
    <w:rsid w:val="007B5CC6"/>
    <w:rsid w:val="007E69D2"/>
    <w:rsid w:val="00811552"/>
    <w:rsid w:val="008115B7"/>
    <w:rsid w:val="0084203A"/>
    <w:rsid w:val="008724B7"/>
    <w:rsid w:val="00880183"/>
    <w:rsid w:val="00885414"/>
    <w:rsid w:val="00892147"/>
    <w:rsid w:val="00963D66"/>
    <w:rsid w:val="009B62B9"/>
    <w:rsid w:val="009C54F1"/>
    <w:rsid w:val="00A30D77"/>
    <w:rsid w:val="00A30F65"/>
    <w:rsid w:val="00A85E4C"/>
    <w:rsid w:val="00AB5B6D"/>
    <w:rsid w:val="00AB5FB6"/>
    <w:rsid w:val="00B200D4"/>
    <w:rsid w:val="00B43F95"/>
    <w:rsid w:val="00B64A16"/>
    <w:rsid w:val="00B91BC3"/>
    <w:rsid w:val="00BB28F6"/>
    <w:rsid w:val="00BD3468"/>
    <w:rsid w:val="00BF3F53"/>
    <w:rsid w:val="00BF6945"/>
    <w:rsid w:val="00C21205"/>
    <w:rsid w:val="00C25B98"/>
    <w:rsid w:val="00C3576F"/>
    <w:rsid w:val="00C7111B"/>
    <w:rsid w:val="00C90CB8"/>
    <w:rsid w:val="00C96D8B"/>
    <w:rsid w:val="00C970EB"/>
    <w:rsid w:val="00CF3BA2"/>
    <w:rsid w:val="00CF4573"/>
    <w:rsid w:val="00D04885"/>
    <w:rsid w:val="00D6312B"/>
    <w:rsid w:val="00DA1B98"/>
    <w:rsid w:val="00DB1F62"/>
    <w:rsid w:val="00DE3F5B"/>
    <w:rsid w:val="00E1269E"/>
    <w:rsid w:val="00E75870"/>
    <w:rsid w:val="00E97900"/>
    <w:rsid w:val="00EB1D11"/>
    <w:rsid w:val="00EB7191"/>
    <w:rsid w:val="00ED3238"/>
    <w:rsid w:val="00EF77E1"/>
    <w:rsid w:val="00F127F1"/>
    <w:rsid w:val="00F448F0"/>
    <w:rsid w:val="00F919A8"/>
    <w:rsid w:val="00FC3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0F6C"/>
  <w15:docId w15:val="{F9139B47-9131-4008-BB06-F17AF749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line="275" w:lineRule="exact"/>
      <w:ind w:left="464" w:hanging="246"/>
      <w:outlineLvl w:val="0"/>
    </w:pPr>
    <w:rPr>
      <w:b/>
      <w:bCs/>
      <w:sz w:val="24"/>
      <w:szCs w:val="24"/>
    </w:rPr>
  </w:style>
  <w:style w:type="paragraph" w:styleId="2">
    <w:name w:val="heading 2"/>
    <w:basedOn w:val="a"/>
    <w:uiPriority w:val="9"/>
    <w:unhideWhenUsed/>
    <w:qFormat/>
    <w:pPr>
      <w:spacing w:line="275" w:lineRule="exact"/>
      <w:ind w:left="219"/>
      <w:jc w:val="both"/>
      <w:outlineLvl w:val="1"/>
    </w:pPr>
    <w:rPr>
      <w:b/>
      <w:bCs/>
      <w:sz w:val="24"/>
      <w:szCs w:val="24"/>
    </w:rPr>
  </w:style>
  <w:style w:type="paragraph" w:styleId="3">
    <w:name w:val="heading 3"/>
    <w:basedOn w:val="a"/>
    <w:next w:val="a"/>
    <w:link w:val="30"/>
    <w:uiPriority w:val="9"/>
    <w:semiHidden/>
    <w:unhideWhenUsed/>
    <w:qFormat/>
    <w:rsid w:val="0002586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ind w:left="219"/>
      <w:jc w:val="both"/>
    </w:pPr>
    <w:rPr>
      <w:sz w:val="24"/>
      <w:szCs w:val="24"/>
    </w:rPr>
  </w:style>
  <w:style w:type="paragraph" w:styleId="a5">
    <w:name w:val="List Paragraph"/>
    <w:basedOn w:val="a"/>
    <w:uiPriority w:val="1"/>
    <w:qFormat/>
    <w:pPr>
      <w:spacing w:line="275" w:lineRule="exact"/>
      <w:ind w:left="219"/>
      <w:jc w:val="both"/>
    </w:pPr>
  </w:style>
  <w:style w:type="paragraph" w:customStyle="1" w:styleId="TableParagraph">
    <w:name w:val="Table Paragraph"/>
    <w:basedOn w:val="a"/>
    <w:uiPriority w:val="1"/>
    <w:qFormat/>
    <w:pPr>
      <w:ind w:left="110"/>
    </w:pPr>
  </w:style>
  <w:style w:type="paragraph" w:styleId="a6">
    <w:name w:val="Revision"/>
    <w:hidden/>
    <w:uiPriority w:val="99"/>
    <w:semiHidden/>
    <w:rsid w:val="0042532D"/>
    <w:pPr>
      <w:widowControl/>
      <w:autoSpaceDE/>
      <w:autoSpaceDN/>
    </w:pPr>
    <w:rPr>
      <w:rFonts w:ascii="Times New Roman" w:eastAsia="Times New Roman" w:hAnsi="Times New Roman" w:cs="Times New Roman"/>
      <w:lang w:val="ru-RU"/>
    </w:rPr>
  </w:style>
  <w:style w:type="character" w:styleId="a7">
    <w:name w:val="annotation reference"/>
    <w:basedOn w:val="a0"/>
    <w:uiPriority w:val="99"/>
    <w:semiHidden/>
    <w:unhideWhenUsed/>
    <w:rsid w:val="0042532D"/>
    <w:rPr>
      <w:sz w:val="16"/>
      <w:szCs w:val="16"/>
    </w:rPr>
  </w:style>
  <w:style w:type="paragraph" w:styleId="a8">
    <w:name w:val="annotation text"/>
    <w:basedOn w:val="a"/>
    <w:link w:val="a9"/>
    <w:uiPriority w:val="99"/>
    <w:semiHidden/>
    <w:unhideWhenUsed/>
    <w:rsid w:val="0042532D"/>
    <w:rPr>
      <w:sz w:val="20"/>
      <w:szCs w:val="20"/>
    </w:rPr>
  </w:style>
  <w:style w:type="character" w:customStyle="1" w:styleId="a9">
    <w:name w:val="Текст примечания Знак"/>
    <w:basedOn w:val="a0"/>
    <w:link w:val="a8"/>
    <w:uiPriority w:val="99"/>
    <w:semiHidden/>
    <w:rsid w:val="0042532D"/>
    <w:rPr>
      <w:rFonts w:ascii="Times New Roman" w:eastAsia="Times New Roman" w:hAnsi="Times New Roman" w:cs="Times New Roman"/>
      <w:sz w:val="20"/>
      <w:szCs w:val="20"/>
      <w:lang w:val="ru-RU"/>
    </w:rPr>
  </w:style>
  <w:style w:type="paragraph" w:styleId="aa">
    <w:name w:val="annotation subject"/>
    <w:basedOn w:val="a8"/>
    <w:next w:val="a8"/>
    <w:link w:val="ab"/>
    <w:uiPriority w:val="99"/>
    <w:semiHidden/>
    <w:unhideWhenUsed/>
    <w:rsid w:val="0042532D"/>
    <w:rPr>
      <w:b/>
      <w:bCs/>
    </w:rPr>
  </w:style>
  <w:style w:type="character" w:customStyle="1" w:styleId="ab">
    <w:name w:val="Тема примечания Знак"/>
    <w:basedOn w:val="a9"/>
    <w:link w:val="aa"/>
    <w:uiPriority w:val="99"/>
    <w:semiHidden/>
    <w:rsid w:val="0042532D"/>
    <w:rPr>
      <w:rFonts w:ascii="Times New Roman" w:eastAsia="Times New Roman" w:hAnsi="Times New Roman" w:cs="Times New Roman"/>
      <w:b/>
      <w:bCs/>
      <w:sz w:val="20"/>
      <w:szCs w:val="20"/>
      <w:lang w:val="ru-RU"/>
    </w:rPr>
  </w:style>
  <w:style w:type="character" w:styleId="ac">
    <w:name w:val="Hyperlink"/>
    <w:basedOn w:val="a0"/>
    <w:uiPriority w:val="99"/>
    <w:unhideWhenUsed/>
    <w:rsid w:val="00C3576F"/>
    <w:rPr>
      <w:color w:val="0000FF" w:themeColor="hyperlink"/>
      <w:u w:val="single"/>
    </w:rPr>
  </w:style>
  <w:style w:type="character" w:styleId="ad">
    <w:name w:val="Unresolved Mention"/>
    <w:basedOn w:val="a0"/>
    <w:uiPriority w:val="99"/>
    <w:semiHidden/>
    <w:unhideWhenUsed/>
    <w:rsid w:val="00C3576F"/>
    <w:rPr>
      <w:color w:val="605E5C"/>
      <w:shd w:val="clear" w:color="auto" w:fill="E1DFDD"/>
    </w:rPr>
  </w:style>
  <w:style w:type="character" w:customStyle="1" w:styleId="a4">
    <w:name w:val="Основной текст Знак"/>
    <w:basedOn w:val="a0"/>
    <w:link w:val="a3"/>
    <w:uiPriority w:val="1"/>
    <w:rsid w:val="00A85E4C"/>
    <w:rPr>
      <w:rFonts w:ascii="Times New Roman" w:eastAsia="Times New Roman" w:hAnsi="Times New Roman" w:cs="Times New Roman"/>
      <w:sz w:val="24"/>
      <w:szCs w:val="24"/>
      <w:lang w:val="ru-RU"/>
    </w:rPr>
  </w:style>
  <w:style w:type="character" w:styleId="ae">
    <w:name w:val="Strong"/>
    <w:basedOn w:val="a0"/>
    <w:uiPriority w:val="22"/>
    <w:qFormat/>
    <w:rsid w:val="00475545"/>
    <w:rPr>
      <w:b/>
      <w:bCs/>
    </w:rPr>
  </w:style>
  <w:style w:type="character" w:customStyle="1" w:styleId="30">
    <w:name w:val="Заголовок 3 Знак"/>
    <w:basedOn w:val="a0"/>
    <w:link w:val="3"/>
    <w:rsid w:val="0002586D"/>
    <w:rPr>
      <w:rFonts w:asciiTheme="majorHAnsi" w:eastAsiaTheme="majorEastAsia" w:hAnsiTheme="majorHAnsi" w:cstheme="majorBidi"/>
      <w:color w:val="243F60" w:themeColor="accent1" w:themeShade="7F"/>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20181">
      <w:bodyDiv w:val="1"/>
      <w:marLeft w:val="0"/>
      <w:marRight w:val="0"/>
      <w:marTop w:val="0"/>
      <w:marBottom w:val="0"/>
      <w:divBdr>
        <w:top w:val="none" w:sz="0" w:space="0" w:color="auto"/>
        <w:left w:val="none" w:sz="0" w:space="0" w:color="auto"/>
        <w:bottom w:val="none" w:sz="0" w:space="0" w:color="auto"/>
        <w:right w:val="none" w:sz="0" w:space="0" w:color="auto"/>
      </w:divBdr>
    </w:div>
    <w:div w:id="114682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dda.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harmacovigilance@rogerspharma.kz" TargetMode="External"/><Relationship Id="rId5" Type="http://schemas.openxmlformats.org/officeDocument/2006/relationships/hyperlink" Target="http://www.ndda.k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4190</Words>
  <Characters>23888</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Sanofi</Company>
  <LinksUpToDate>false</LinksUpToDate>
  <CharactersWithSpaces>28022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5</cp:revision>
  <dcterms:created xsi:type="dcterms:W3CDTF">2025-12-15T04:12:00Z</dcterms:created>
  <dcterms:modified xsi:type="dcterms:W3CDTF">2025-12-15T06:18:00Z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2022-05-19T00:00:00Z</vt:filetime>
  </property>
  <property fmtid="{D5CDD505-2E9C-101B-9397-08002B2CF9AE}" pid="3" name="Creator">
    <vt:lpwstr>Microsoft® Word 2016</vt:lpwstr>
  </property>
  <property fmtid="{D5CDD505-2E9C-101B-9397-08002B2CF9AE}" pid="4" name="LastSaved">
    <vt:filetime>2023-04-10T00:00:00Z</vt:filetime>
  </property>
  <property fmtid="{D5CDD505-2E9C-101B-9397-08002B2CF9AE}" pid="5" name="Producer">
    <vt:lpwstr>www.ilovepdf.com</vt:lpwstr>
  </property>
</Properties>
</file>